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9FC" w:rsidRDefault="00E01A3D" w:rsidP="00E01A3D">
      <w:pPr>
        <w:jc w:val="center"/>
        <w:rPr>
          <w:sz w:val="28"/>
          <w:szCs w:val="28"/>
        </w:rPr>
      </w:pPr>
      <w:r>
        <w:rPr>
          <w:noProof/>
          <w:sz w:val="24"/>
          <w:szCs w:val="24"/>
        </w:rPr>
        <w:drawing>
          <wp:inline distT="0" distB="0" distL="0" distR="0">
            <wp:extent cx="1819275" cy="1828800"/>
            <wp:effectExtent l="0" t="0" r="9525" b="0"/>
            <wp:docPr id="29" name="Picture 29" descr="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F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extent cx="1285875" cy="1828800"/>
            <wp:effectExtent l="0" t="0" r="9525" b="0"/>
            <wp:docPr id="30" name="Picture 30" descr="South Dakota School of M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 Dakota School of Mine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828800"/>
                    </a:xfrm>
                    <a:prstGeom prst="rect">
                      <a:avLst/>
                    </a:prstGeom>
                    <a:noFill/>
                    <a:ln>
                      <a:noFill/>
                    </a:ln>
                  </pic:spPr>
                </pic:pic>
              </a:graphicData>
            </a:graphic>
          </wp:inline>
        </w:drawing>
      </w:r>
    </w:p>
    <w:p w:rsidR="00A579FC" w:rsidRDefault="00A579FC" w:rsidP="00A579FC">
      <w:pPr>
        <w:jc w:val="center"/>
      </w:pPr>
    </w:p>
    <w:p w:rsidR="00E01A3D" w:rsidRDefault="00E01A3D" w:rsidP="00A579FC">
      <w:pPr>
        <w:jc w:val="center"/>
      </w:pPr>
      <w:r>
        <w:t xml:space="preserve">Research Experience for Undergraduates </w:t>
      </w:r>
    </w:p>
    <w:p w:rsidR="00E01A3D" w:rsidRDefault="00E01A3D" w:rsidP="00A579FC">
      <w:pPr>
        <w:jc w:val="center"/>
      </w:pPr>
      <w:r>
        <w:t xml:space="preserve">National Science Foundation </w:t>
      </w:r>
    </w:p>
    <w:p w:rsidR="00E01A3D" w:rsidRDefault="00E01A3D" w:rsidP="00A579FC">
      <w:pPr>
        <w:jc w:val="center"/>
      </w:pPr>
    </w:p>
    <w:p w:rsidR="00BD1F8A" w:rsidRDefault="00BD1F8A" w:rsidP="00A579FC">
      <w:pPr>
        <w:jc w:val="center"/>
        <w:rPr>
          <w:b/>
          <w:sz w:val="36"/>
          <w:szCs w:val="36"/>
        </w:rPr>
      </w:pPr>
      <w:r>
        <w:rPr>
          <w:b/>
          <w:sz w:val="36"/>
          <w:szCs w:val="36"/>
        </w:rPr>
        <w:t>Friction Stir Welding</w:t>
      </w:r>
      <w:r w:rsidR="0076702C">
        <w:rPr>
          <w:b/>
          <w:sz w:val="36"/>
          <w:szCs w:val="36"/>
        </w:rPr>
        <w:t xml:space="preserve"> </w:t>
      </w:r>
      <w:r>
        <w:rPr>
          <w:b/>
          <w:sz w:val="36"/>
          <w:szCs w:val="36"/>
        </w:rPr>
        <w:t xml:space="preserve">and Post-Weld Heat Treating of </w:t>
      </w:r>
    </w:p>
    <w:p w:rsidR="0076702C" w:rsidRDefault="00BD1F8A" w:rsidP="00A579FC">
      <w:pPr>
        <w:jc w:val="center"/>
        <w:rPr>
          <w:b/>
          <w:sz w:val="36"/>
          <w:szCs w:val="36"/>
        </w:rPr>
      </w:pPr>
      <w:r>
        <w:rPr>
          <w:b/>
          <w:sz w:val="36"/>
          <w:szCs w:val="36"/>
        </w:rPr>
        <w:t>250-Grade</w:t>
      </w:r>
      <w:r w:rsidR="0076702C">
        <w:rPr>
          <w:b/>
          <w:sz w:val="36"/>
          <w:szCs w:val="36"/>
        </w:rPr>
        <w:t xml:space="preserve"> Maraging Steel </w:t>
      </w:r>
    </w:p>
    <w:p w:rsidR="0076702C" w:rsidRDefault="0076702C" w:rsidP="00A579FC">
      <w:pPr>
        <w:jc w:val="center"/>
        <w:rPr>
          <w:b/>
          <w:sz w:val="36"/>
          <w:szCs w:val="36"/>
        </w:rPr>
      </w:pPr>
    </w:p>
    <w:p w:rsidR="0076702C" w:rsidRDefault="0076702C" w:rsidP="00A579FC">
      <w:pPr>
        <w:jc w:val="center"/>
      </w:pPr>
      <w:r>
        <w:t xml:space="preserve">Prepared by Brendan Kellogg </w:t>
      </w:r>
    </w:p>
    <w:p w:rsidR="0076702C" w:rsidRDefault="0076702C" w:rsidP="00A579FC">
      <w:pPr>
        <w:jc w:val="center"/>
      </w:pPr>
    </w:p>
    <w:p w:rsidR="0076702C" w:rsidRPr="0076702C" w:rsidRDefault="0076702C" w:rsidP="00A579FC">
      <w:pPr>
        <w:jc w:val="center"/>
        <w:rPr>
          <w:i/>
        </w:rPr>
      </w:pPr>
      <w:r>
        <w:rPr>
          <w:i/>
        </w:rPr>
        <w:t xml:space="preserve">Advisors: </w:t>
      </w:r>
    </w:p>
    <w:p w:rsidR="0076702C" w:rsidRDefault="0076702C" w:rsidP="00A579FC">
      <w:pPr>
        <w:jc w:val="center"/>
      </w:pPr>
      <w:r>
        <w:t xml:space="preserve"> Drs. Bharat Jasthi and Michael West </w:t>
      </w:r>
    </w:p>
    <w:p w:rsidR="0076702C" w:rsidRDefault="0076702C" w:rsidP="00A579FC">
      <w:pPr>
        <w:jc w:val="center"/>
      </w:pPr>
    </w:p>
    <w:p w:rsidR="0076702C" w:rsidRDefault="0076702C" w:rsidP="00A579FC">
      <w:pPr>
        <w:jc w:val="center"/>
        <w:rPr>
          <w:i/>
        </w:rPr>
      </w:pPr>
      <w:r>
        <w:rPr>
          <w:i/>
        </w:rPr>
        <w:t xml:space="preserve">Sponsor: </w:t>
      </w:r>
    </w:p>
    <w:p w:rsidR="0076702C" w:rsidRDefault="0076702C" w:rsidP="00A579FC">
      <w:pPr>
        <w:jc w:val="center"/>
      </w:pPr>
      <w:r>
        <w:t xml:space="preserve">The National Science Foundation </w:t>
      </w:r>
    </w:p>
    <w:p w:rsidR="0076702C" w:rsidRPr="0076702C" w:rsidRDefault="0076702C" w:rsidP="00A579FC">
      <w:pPr>
        <w:jc w:val="center"/>
      </w:pPr>
      <w:r>
        <w:t>Grant #1157074</w:t>
      </w:r>
    </w:p>
    <w:p w:rsidR="00A579FC" w:rsidRDefault="0076702C" w:rsidP="00A579FC">
      <w:pPr>
        <w:rPr>
          <w:sz w:val="28"/>
          <w:szCs w:val="28"/>
        </w:rPr>
      </w:pPr>
      <w:r>
        <w:rPr>
          <w:sz w:val="28"/>
          <w:szCs w:val="28"/>
        </w:rPr>
        <w:br w:type="page"/>
      </w:r>
    </w:p>
    <w:p w:rsidR="00E30744" w:rsidRPr="00D42127" w:rsidRDefault="00E30744" w:rsidP="00E30744">
      <w:pPr>
        <w:rPr>
          <w:b/>
        </w:rPr>
      </w:pPr>
      <w:r w:rsidRPr="00D42127">
        <w:rPr>
          <w:b/>
        </w:rPr>
        <w:lastRenderedPageBreak/>
        <w:t xml:space="preserve">Table of Contents </w:t>
      </w:r>
    </w:p>
    <w:p w:rsidR="00E30744" w:rsidRDefault="00E30744" w:rsidP="00E30744">
      <w:r>
        <w:t>Abstract ………………………………………………………………</w:t>
      </w:r>
      <w:r w:rsidR="0023040B">
        <w:t>………………………………………………………………………………….2</w:t>
      </w:r>
    </w:p>
    <w:p w:rsidR="00E30744" w:rsidRDefault="00E30744" w:rsidP="00E30744">
      <w:r>
        <w:t>Introduction ……………………………………………………………</w:t>
      </w:r>
      <w:r w:rsidR="0023040B">
        <w:t>………………………………………………………………………………2</w:t>
      </w:r>
    </w:p>
    <w:p w:rsidR="00E30744" w:rsidRDefault="00E30744" w:rsidP="00E30744">
      <w:r>
        <w:t>Broader Impact ……………………………………………………</w:t>
      </w:r>
      <w:r w:rsidR="0023040B">
        <w:t>………………………………………………………………………………….4</w:t>
      </w:r>
    </w:p>
    <w:p w:rsidR="00E30744" w:rsidRDefault="00E30744" w:rsidP="00E30744">
      <w:r>
        <w:t>Procedure ……………………………………………………………</w:t>
      </w:r>
      <w:r w:rsidR="0023040B">
        <w:t>………………………………………………………………………………….4</w:t>
      </w:r>
    </w:p>
    <w:p w:rsidR="00E30744" w:rsidRDefault="00E30744" w:rsidP="00E30744">
      <w:r>
        <w:t>Results …………………………………………………………………</w:t>
      </w:r>
      <w:r w:rsidR="0023040B">
        <w:t>…………………………………………………………………………………7</w:t>
      </w:r>
    </w:p>
    <w:p w:rsidR="00E30744" w:rsidRDefault="00E30744" w:rsidP="00E30744">
      <w:r>
        <w:t>Discussion ……………………………………………………………</w:t>
      </w:r>
      <w:r w:rsidR="0023040B">
        <w:t>………………………………………………………………………………….9</w:t>
      </w:r>
    </w:p>
    <w:p w:rsidR="00E30744" w:rsidRDefault="00E30744" w:rsidP="00E30744">
      <w:r>
        <w:t>Conclusion ………………………………………………………………</w:t>
      </w:r>
      <w:r w:rsidR="0023040B">
        <w:t>…………………………………………………………………………….12</w:t>
      </w:r>
    </w:p>
    <w:p w:rsidR="00E30744" w:rsidRDefault="00E30744" w:rsidP="00E30744">
      <w:r>
        <w:t>Future Work …………………………………………………………………………………………………………………………………</w:t>
      </w:r>
      <w:r w:rsidR="0023040B">
        <w:t>……….12</w:t>
      </w:r>
    </w:p>
    <w:p w:rsidR="0023040B" w:rsidRDefault="0023040B" w:rsidP="00E30744">
      <w:r>
        <w:t>Acknowledgements ………………………………………………</w:t>
      </w:r>
      <w:r>
        <w:t>………………………………………………………………………………13</w:t>
      </w:r>
    </w:p>
    <w:p w:rsidR="00E30744" w:rsidRDefault="00E30744" w:rsidP="00E30744">
      <w:r>
        <w:t>References ………………………………………………………………</w:t>
      </w:r>
      <w:r w:rsidR="0023040B">
        <w:t>……………………………………………………………………………14</w:t>
      </w:r>
    </w:p>
    <w:p w:rsidR="0023040B" w:rsidRDefault="0023040B" w:rsidP="00E30744">
      <w:r>
        <w:t>Appendix ………………………………………………………………………………………………………………………………………………15</w:t>
      </w:r>
    </w:p>
    <w:p w:rsidR="00E30744" w:rsidRDefault="00E30744" w:rsidP="00E30744">
      <w:pPr>
        <w:rPr>
          <w:b/>
          <w:sz w:val="24"/>
          <w:szCs w:val="24"/>
        </w:rPr>
      </w:pPr>
      <w:r>
        <w:rPr>
          <w:b/>
          <w:sz w:val="24"/>
          <w:szCs w:val="24"/>
        </w:rPr>
        <w:br w:type="page"/>
      </w:r>
    </w:p>
    <w:p w:rsidR="00E03E20" w:rsidRDefault="00E03E20" w:rsidP="00E03E20">
      <w:pPr>
        <w:rPr>
          <w:b/>
        </w:rPr>
      </w:pPr>
      <w:r>
        <w:rPr>
          <w:b/>
        </w:rPr>
        <w:lastRenderedPageBreak/>
        <w:t xml:space="preserve">Abstract </w:t>
      </w:r>
    </w:p>
    <w:p w:rsidR="00E03E20" w:rsidRDefault="00E03E20" w:rsidP="00E03E20">
      <w:r>
        <w:tab/>
        <w:t xml:space="preserve">Friction stir processing and post-weld heat treatments of 250 Grade Maraging Steel were performed using bead on plate friction stir welds with a Tungsten Rhenium Hafnium Carbide pin tool. Successful welds generally resulted from FSW parameters that produced higher amounts of heat, specifically a force of 6500 </w:t>
      </w:r>
      <w:r w:rsidR="00B07851">
        <w:t>lbs.</w:t>
      </w:r>
      <w:r>
        <w:t xml:space="preserve">, rotational speed of 200 rpm, and a longitudinal speed of 2 in/min. Post-weld heat treating indicates the possibility of over-aging with excessive temperature or time at elevated temperature illustrating the benefits of lower temperature aging for longer durations. Analysis of heat treated samples illustrates a uniform hardening effect of the treatment on and across the HAZ and weld nugget. The possibility of improved hardness over that of similarly heat treated parent material was also observed, indicating the potential for greater than 100% joint efficiencies and the benefits of friction stir processing the metal. </w:t>
      </w:r>
    </w:p>
    <w:p w:rsidR="00E03E20" w:rsidRDefault="00E03E20">
      <w:pPr>
        <w:rPr>
          <w:b/>
          <w:sz w:val="24"/>
          <w:szCs w:val="24"/>
        </w:rPr>
      </w:pPr>
    </w:p>
    <w:p w:rsidR="008F5161" w:rsidRDefault="00B15BDC">
      <w:r>
        <w:rPr>
          <w:b/>
          <w:sz w:val="24"/>
          <w:szCs w:val="24"/>
        </w:rPr>
        <w:t xml:space="preserve">Introduction </w:t>
      </w:r>
    </w:p>
    <w:p w:rsidR="00140034" w:rsidRPr="00D42127" w:rsidRDefault="00140034">
      <w:r>
        <w:tab/>
        <w:t>Friction stir welding is a materials</w:t>
      </w:r>
      <w:r w:rsidR="009D6B65">
        <w:t xml:space="preserve"> (usually metal)</w:t>
      </w:r>
      <w:r>
        <w:t xml:space="preserve"> joining process in which </w:t>
      </w:r>
      <w:r w:rsidR="00A579FC">
        <w:t xml:space="preserve">melting of the material is not necessary. </w:t>
      </w:r>
      <w:r w:rsidR="00D42127">
        <w:t xml:space="preserve">Instead a tool (see </w:t>
      </w:r>
      <w:r w:rsidR="00D42127">
        <w:rPr>
          <w:i/>
        </w:rPr>
        <w:t>Figure 1</w:t>
      </w:r>
      <w:r w:rsidR="00D42127">
        <w:t>) applies pressure with a specified amount of force onto the seam of the secured (clamped so they cannot move during welding) materials to be joined. The tool rotates at a specified rotational speed (rpm) and begins to “plunge” the pin into the material. Once the desired depth is reached (usually where the shoulder of the tool touches the material) the tool begins to travel along the seam, ideally maintaining constant pressure and rotational speed</w:t>
      </w:r>
      <w:r w:rsidR="009D6B65">
        <w:t>. In this way the tool co</w:t>
      </w:r>
      <w:r w:rsidR="00B07851">
        <w:t>mbines its force and rotation, using</w:t>
      </w:r>
      <w:r w:rsidR="009D6B65">
        <w:t xml:space="preserve"> friction to “stir” the material together (see </w:t>
      </w:r>
      <w:r w:rsidR="009D6B65">
        <w:rPr>
          <w:i/>
        </w:rPr>
        <w:t>Figure 2</w:t>
      </w:r>
      <w:r w:rsidR="009D6B65">
        <w:t xml:space="preserve">). </w:t>
      </w:r>
    </w:p>
    <w:p w:rsidR="00D42127" w:rsidRDefault="00D42127" w:rsidP="00D42127">
      <w:pPr>
        <w:keepNext/>
        <w:spacing w:after="0"/>
      </w:pPr>
      <w:r>
        <w:rPr>
          <w:noProof/>
        </w:rPr>
        <w:drawing>
          <wp:inline distT="0" distB="0" distL="0" distR="0" wp14:anchorId="20B9C720" wp14:editId="1218D964">
            <wp:extent cx="1514475" cy="2100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rotated close up.jpg"/>
                    <pic:cNvPicPr/>
                  </pic:nvPicPr>
                  <pic:blipFill>
                    <a:blip r:embed="rId12">
                      <a:extLst>
                        <a:ext uri="{28A0092B-C50C-407E-A947-70E740481C1C}">
                          <a14:useLocalDpi xmlns:a14="http://schemas.microsoft.com/office/drawing/2010/main" val="0"/>
                        </a:ext>
                      </a:extLst>
                    </a:blip>
                    <a:stretch>
                      <a:fillRect/>
                    </a:stretch>
                  </pic:blipFill>
                  <pic:spPr>
                    <a:xfrm>
                      <a:off x="0" y="0"/>
                      <a:ext cx="1515426" cy="2102250"/>
                    </a:xfrm>
                    <a:prstGeom prst="rect">
                      <a:avLst/>
                    </a:prstGeom>
                  </pic:spPr>
                </pic:pic>
              </a:graphicData>
            </a:graphic>
          </wp:inline>
        </w:drawing>
      </w:r>
      <w:r w:rsidR="0023040B">
        <w:rPr>
          <w:noProof/>
        </w:rPr>
        <w:t xml:space="preserve">                                  </w:t>
      </w:r>
      <w:r w:rsidR="0023040B">
        <w:rPr>
          <w:noProof/>
        </w:rPr>
        <w:drawing>
          <wp:inline distT="0" distB="0" distL="0" distR="0" wp14:anchorId="0C764909" wp14:editId="30DC8D2D">
            <wp:extent cx="2571750" cy="1724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W process illustration.gif"/>
                    <pic:cNvPicPr/>
                  </pic:nvPicPr>
                  <pic:blipFill>
                    <a:blip r:embed="rId13">
                      <a:extLst>
                        <a:ext uri="{28A0092B-C50C-407E-A947-70E740481C1C}">
                          <a14:useLocalDpi xmlns:a14="http://schemas.microsoft.com/office/drawing/2010/main" val="0"/>
                        </a:ext>
                      </a:extLst>
                    </a:blip>
                    <a:stretch>
                      <a:fillRect/>
                    </a:stretch>
                  </pic:blipFill>
                  <pic:spPr>
                    <a:xfrm>
                      <a:off x="0" y="0"/>
                      <a:ext cx="2571750" cy="1724025"/>
                    </a:xfrm>
                    <a:prstGeom prst="rect">
                      <a:avLst/>
                    </a:prstGeom>
                  </pic:spPr>
                </pic:pic>
              </a:graphicData>
            </a:graphic>
          </wp:inline>
        </w:drawing>
      </w:r>
    </w:p>
    <w:p w:rsidR="009D6B65" w:rsidRDefault="00D42127" w:rsidP="009D6B65">
      <w:pPr>
        <w:pStyle w:val="Caption"/>
      </w:pPr>
      <w:r>
        <w:t xml:space="preserve">Figure </w:t>
      </w:r>
      <w:fldSimple w:instr=" SEQ Figure \* ARABIC ">
        <w:r w:rsidR="00E90069">
          <w:rPr>
            <w:noProof/>
          </w:rPr>
          <w:t>1</w:t>
        </w:r>
      </w:fldSimple>
      <w:r w:rsidR="0023040B">
        <w:t xml:space="preserve"> - TRHC FSW Pin Tool                                                </w:t>
      </w:r>
      <w:r w:rsidR="009D6B65">
        <w:t xml:space="preserve">Figure </w:t>
      </w:r>
      <w:fldSimple w:instr=" SEQ Figure \* ARABIC ">
        <w:r w:rsidR="00E90069">
          <w:rPr>
            <w:noProof/>
          </w:rPr>
          <w:t>2</w:t>
        </w:r>
      </w:fldSimple>
      <w:r w:rsidR="009D6B65">
        <w:t xml:space="preserve"> - Friction Stir Welding Process</w:t>
      </w:r>
      <w:r w:rsidR="00E01A3D">
        <w:t xml:space="preserve"> (“winxen.com,” 2007) </w:t>
      </w:r>
    </w:p>
    <w:p w:rsidR="00B15BDC" w:rsidRDefault="00B15BDC">
      <w:r>
        <w:tab/>
      </w:r>
      <w:r w:rsidR="009D6B65">
        <w:t xml:space="preserve">Little to no research has been documented on the application of friction stir welding (FSW) techniques to the specialized aerospace metal maraging steel. </w:t>
      </w:r>
      <w:r>
        <w:t>Maraging steels are a type of ultra-high strength iron alloy renowned for possessing superior strength and toughness without loss of malleability. These steels differ from regular steels mainly in alloy composition. For example, maraging steels contain very little to no Carbon (typically less than 0.05%) but instead contain high percentages of Nickel, Cobalt, and Molybdenum. These alloying elements are responsible for the hi</w:t>
      </w:r>
      <w:r w:rsidR="002111F0">
        <w:t xml:space="preserve">gh strength of the </w:t>
      </w:r>
      <w:r w:rsidR="002111F0">
        <w:lastRenderedPageBreak/>
        <w:t>metal</w:t>
      </w:r>
      <w:r>
        <w:t xml:space="preserve">, a result of intermetallic compounds precipitated out of the iron based solution during a final heat treatment known as “aging.” In fact the name of the classification of metals is a portmanteau of “martensitic,” the principal microstructure of the steel, and “aging,” referring to the precipitation hardening process. </w:t>
      </w:r>
    </w:p>
    <w:p w:rsidR="00B15BDC" w:rsidRDefault="00B15BDC">
      <w:r>
        <w:tab/>
        <w:t>Upon cooling after casting, the high nick</w:t>
      </w:r>
      <w:r w:rsidR="00486AAB">
        <w:t>el content of maraging steels allows for the microstructure formed to be almost entirely body-centered tetragonal lath martensite, even without quenching. After cooling most maragin</w:t>
      </w:r>
      <w:r w:rsidR="00677F1B">
        <w:t>g steels undergo at least one</w:t>
      </w:r>
      <w:r w:rsidR="00486AAB">
        <w:t xml:space="preserve"> annealing heat treatment at </w:t>
      </w:r>
      <w:r w:rsidR="00677F1B">
        <w:t xml:space="preserve">temperatures </w:t>
      </w:r>
      <w:r w:rsidR="00486AAB">
        <w:t>over 800 C (duration dependent on thickness</w:t>
      </w:r>
      <w:r w:rsidR="001B035B">
        <w:t xml:space="preserve"> of sample) for the purpose of creating a uniform solution</w:t>
      </w:r>
      <w:r w:rsidR="00677F1B">
        <w:t xml:space="preserve"> throughout the entire material</w:t>
      </w:r>
      <w:r w:rsidR="00486AAB">
        <w:t>. In this “solution annealed” condition, the met</w:t>
      </w:r>
      <w:r w:rsidR="0082374B">
        <w:t>al i</w:t>
      </w:r>
      <w:r w:rsidR="00486AAB">
        <w:t>s relatively soft a</w:t>
      </w:r>
      <w:r w:rsidR="00677F1B">
        <w:t>nd malleable. Therefore, it is</w:t>
      </w:r>
      <w:r w:rsidR="00486AAB">
        <w:t xml:space="preserve"> in this conditio</w:t>
      </w:r>
      <w:r w:rsidR="00B777A3">
        <w:t xml:space="preserve">n </w:t>
      </w:r>
      <w:r w:rsidR="001B035B">
        <w:t>the metal is most often machined, worked, and welded</w:t>
      </w:r>
      <w:r w:rsidR="00B777A3">
        <w:t xml:space="preserve"> </w:t>
      </w:r>
      <w:r w:rsidR="001B035B">
        <w:t>to the</w:t>
      </w:r>
      <w:r w:rsidR="00B777A3">
        <w:t xml:space="preserve"> shape </w:t>
      </w:r>
      <w:r w:rsidR="001B035B">
        <w:t xml:space="preserve">and specifications </w:t>
      </w:r>
      <w:r w:rsidR="00B777A3">
        <w:t xml:space="preserve">for its intended purpose. </w:t>
      </w:r>
      <w:r w:rsidR="00F00686">
        <w:t xml:space="preserve">The final heat treatment instigates the precipitation hardening process, and is conducted at a much lower temperature than that of the annealing process, usually between 450 and 510 C and for 3 to 9 hours (Metals Handbook, 1990). </w:t>
      </w:r>
    </w:p>
    <w:p w:rsidR="00677F1B" w:rsidRDefault="00677F1B">
      <w:r>
        <w:tab/>
        <w:t>It is known that welding of this metal via more conventional weldin</w:t>
      </w:r>
      <w:r w:rsidR="000137E8">
        <w:t>g techniques (arc, gas, etc.)</w:t>
      </w:r>
      <w:r>
        <w:t xml:space="preserve"> </w:t>
      </w:r>
      <w:r w:rsidR="000137E8">
        <w:t xml:space="preserve">often </w:t>
      </w:r>
      <w:r>
        <w:t>causes austenitic reversion of the martensite</w:t>
      </w:r>
      <w:r w:rsidR="000137E8">
        <w:t>, and the best techniques</w:t>
      </w:r>
      <w:r>
        <w:t xml:space="preserve"> documented to date involve the lowest possible heat input while still creating a successful weld (</w:t>
      </w:r>
      <w:proofErr w:type="spellStart"/>
      <w:r>
        <w:t>Shamantha</w:t>
      </w:r>
      <w:proofErr w:type="spellEnd"/>
      <w:r>
        <w:t xml:space="preserve">, 2000). </w:t>
      </w:r>
      <w:r w:rsidR="000137E8">
        <w:t xml:space="preserve">This presents the need for researching the possibility of friction stir welding this steel, since the process requires much lower heat levels. </w:t>
      </w:r>
    </w:p>
    <w:p w:rsidR="001B035B" w:rsidRDefault="001B035B">
      <w:r>
        <w:tab/>
        <w:t xml:space="preserve">The purpose of this research is to </w:t>
      </w:r>
      <w:r w:rsidR="009E5BCF">
        <w:t>document the methods and success of friction stir welding this type of steel and record the material</w:t>
      </w:r>
      <w:r w:rsidR="000137E8">
        <w:t>’</w:t>
      </w:r>
      <w:r w:rsidR="009E5BCF">
        <w:t xml:space="preserve">s response to aging after welding. Three predominant welding parameters are considered: tool force, rotational speed, and longitudinal speed. Variations of these parameters </w:t>
      </w:r>
      <w:r w:rsidR="008B223F">
        <w:t>are attempted followed by metallographic analysis, searching the welds for defects. For post-weld heat treatments, various temperatures and durations are administered to samples of successful welds, followed by an analysis of the mechanical propertie</w:t>
      </w:r>
      <w:r w:rsidR="000137E8">
        <w:t>s of such samples</w:t>
      </w:r>
      <w:r w:rsidR="008B223F">
        <w:t xml:space="preserve">. These results are compared to what is already known about the response to aging of </w:t>
      </w:r>
      <w:r w:rsidR="00F00686">
        <w:t>not welded</w:t>
      </w:r>
      <w:r w:rsidR="008B223F">
        <w:t xml:space="preserve"> maraging steel and </w:t>
      </w:r>
      <w:r w:rsidR="000137E8">
        <w:t xml:space="preserve">the </w:t>
      </w:r>
      <w:r w:rsidR="008B223F">
        <w:t xml:space="preserve">mechanical properties achieved with other methods of joining. </w:t>
      </w:r>
    </w:p>
    <w:p w:rsidR="00C04A42" w:rsidRDefault="00C04A42"/>
    <w:p w:rsidR="00C04A42" w:rsidRDefault="00C04A42">
      <w:pPr>
        <w:rPr>
          <w:b/>
        </w:rPr>
      </w:pPr>
      <w:r>
        <w:rPr>
          <w:b/>
        </w:rPr>
        <w:t xml:space="preserve">Broader Impact </w:t>
      </w:r>
    </w:p>
    <w:p w:rsidR="00C04A42" w:rsidRPr="00C04A42" w:rsidRDefault="00C04A42">
      <w:r>
        <w:tab/>
        <w:t xml:space="preserve">The success of friction stir welding maraging steel is unknown, so any resulting data on the topic, positive or otherwise, is beneficial. It is known that through more conventional welding techniques and subsequent aging processes, joint efficiencies achievable with this material can be </w:t>
      </w:r>
      <w:r w:rsidR="006B37C3">
        <w:t>upwards of 90% (</w:t>
      </w:r>
      <w:proofErr w:type="spellStart"/>
      <w:r w:rsidR="006B37C3">
        <w:t>Lampman</w:t>
      </w:r>
      <w:proofErr w:type="spellEnd"/>
      <w:r w:rsidR="006B37C3">
        <w:t xml:space="preserve"> and </w:t>
      </w:r>
      <w:proofErr w:type="spellStart"/>
      <w:r w:rsidR="006B37C3">
        <w:t>Crakovic</w:t>
      </w:r>
      <w:proofErr w:type="spellEnd"/>
      <w:r w:rsidR="004C6D44">
        <w:t xml:space="preserve">, 1990). </w:t>
      </w:r>
      <w:r w:rsidR="006B37C3">
        <w:t>In general</w:t>
      </w:r>
      <w:r w:rsidR="00601EC2">
        <w:t xml:space="preserve"> other methods of welding tend to be more cost effect</w:t>
      </w:r>
      <w:r w:rsidR="006B37C3">
        <w:t>ive than FSW</w:t>
      </w:r>
      <w:r w:rsidR="00601EC2">
        <w:t xml:space="preserve"> and</w:t>
      </w:r>
      <w:r w:rsidR="006B37C3">
        <w:t>,</w:t>
      </w:r>
      <w:r w:rsidR="00601EC2">
        <w:t xml:space="preserve"> for this materi</w:t>
      </w:r>
      <w:r w:rsidR="006B37C3">
        <w:t>al these other</w:t>
      </w:r>
      <w:r w:rsidR="00601EC2">
        <w:t xml:space="preserve"> methods also tend to produce positive results. It is then necessary to know for industrial application whether or not there could be any feasible reason to implement friction stir welding or processing of maraging steel in manufacturing for any purpose. </w:t>
      </w:r>
    </w:p>
    <w:p w:rsidR="008F5161" w:rsidRDefault="008F5161"/>
    <w:p w:rsidR="008F5161" w:rsidRDefault="008F5161">
      <w:pPr>
        <w:rPr>
          <w:b/>
          <w:sz w:val="24"/>
          <w:szCs w:val="24"/>
        </w:rPr>
      </w:pPr>
      <w:r>
        <w:rPr>
          <w:b/>
          <w:sz w:val="24"/>
          <w:szCs w:val="24"/>
        </w:rPr>
        <w:lastRenderedPageBreak/>
        <w:t xml:space="preserve">Procedure </w:t>
      </w:r>
    </w:p>
    <w:p w:rsidR="006319BB" w:rsidRDefault="006319BB">
      <w:r>
        <w:rPr>
          <w:b/>
          <w:sz w:val="24"/>
          <w:szCs w:val="24"/>
        </w:rPr>
        <w:tab/>
      </w:r>
      <w:r>
        <w:t xml:space="preserve">The following section outlines the methods by which each portion of the project was executed. All testing was conducted in accordance with the guidelines of the American Society of Testing Materials (specific tests listed </w:t>
      </w:r>
      <w:r w:rsidR="006249A2">
        <w:t xml:space="preserve">in </w:t>
      </w:r>
      <w:r w:rsidR="006249A2">
        <w:rPr>
          <w:i/>
        </w:rPr>
        <w:t xml:space="preserve">Table 1 </w:t>
      </w:r>
      <w:r>
        <w:t xml:space="preserve">below). Other methods, for example the </w:t>
      </w:r>
      <w:r w:rsidR="006249A2">
        <w:t xml:space="preserve">post-weld </w:t>
      </w:r>
      <w:r>
        <w:t>heat treatment</w:t>
      </w:r>
      <w:r w:rsidR="006249A2">
        <w:t>s</w:t>
      </w:r>
      <w:r>
        <w:t xml:space="preserve"> applied to the steel, is documented in text as cl</w:t>
      </w:r>
      <w:r w:rsidR="006249A2">
        <w:t>early as possible</w:t>
      </w:r>
      <w:r>
        <w:t xml:space="preserve">. </w:t>
      </w:r>
    </w:p>
    <w:p w:rsidR="00ED5D12" w:rsidRDefault="00ED5D12" w:rsidP="00ED5D12">
      <w:pPr>
        <w:pStyle w:val="Caption"/>
        <w:keepNext/>
        <w:spacing w:after="0"/>
      </w:pPr>
      <w:r>
        <w:t xml:space="preserve">Table </w:t>
      </w:r>
      <w:fldSimple w:instr=" SEQ Table \* ARABIC ">
        <w:r w:rsidR="009E7551">
          <w:rPr>
            <w:noProof/>
          </w:rPr>
          <w:t>1</w:t>
        </w:r>
      </w:fldSimple>
      <w:r>
        <w:t xml:space="preserve"> - ASTM Procedures</w:t>
      </w:r>
      <w:r w:rsidR="00AF68F2">
        <w:t xml:space="preserve"> (Mayer, 2010) </w:t>
      </w:r>
    </w:p>
    <w:tbl>
      <w:tblPr>
        <w:tblStyle w:val="TableGrid"/>
        <w:tblW w:w="0" w:type="auto"/>
        <w:tblLook w:val="04A0" w:firstRow="1" w:lastRow="0" w:firstColumn="1" w:lastColumn="0" w:noHBand="0" w:noVBand="1"/>
      </w:tblPr>
      <w:tblGrid>
        <w:gridCol w:w="3438"/>
        <w:gridCol w:w="6138"/>
      </w:tblGrid>
      <w:tr w:rsidR="00B427D1" w:rsidTr="00B427D1">
        <w:tc>
          <w:tcPr>
            <w:tcW w:w="3438" w:type="dxa"/>
          </w:tcPr>
          <w:p w:rsidR="00B427D1" w:rsidRPr="00B427D1" w:rsidRDefault="00B427D1" w:rsidP="00B427D1">
            <w:pPr>
              <w:jc w:val="center"/>
              <w:rPr>
                <w:b/>
              </w:rPr>
            </w:pPr>
            <w:r w:rsidRPr="00B427D1">
              <w:rPr>
                <w:b/>
              </w:rPr>
              <w:t xml:space="preserve">ASTM number </w:t>
            </w:r>
          </w:p>
        </w:tc>
        <w:tc>
          <w:tcPr>
            <w:tcW w:w="6138" w:type="dxa"/>
          </w:tcPr>
          <w:p w:rsidR="00B427D1" w:rsidRPr="00B427D1" w:rsidRDefault="00B427D1" w:rsidP="00B427D1">
            <w:pPr>
              <w:jc w:val="center"/>
              <w:rPr>
                <w:b/>
              </w:rPr>
            </w:pPr>
            <w:r w:rsidRPr="00B427D1">
              <w:rPr>
                <w:b/>
              </w:rPr>
              <w:t xml:space="preserve">Description </w:t>
            </w:r>
          </w:p>
        </w:tc>
      </w:tr>
      <w:tr w:rsidR="00B427D1" w:rsidTr="00B427D1">
        <w:tc>
          <w:tcPr>
            <w:tcW w:w="3438" w:type="dxa"/>
          </w:tcPr>
          <w:p w:rsidR="00B427D1" w:rsidRPr="00B427D1" w:rsidRDefault="00B427D1">
            <w:r>
              <w:t xml:space="preserve">E18-08b </w:t>
            </w:r>
          </w:p>
        </w:tc>
        <w:tc>
          <w:tcPr>
            <w:tcW w:w="6138" w:type="dxa"/>
          </w:tcPr>
          <w:p w:rsidR="00B427D1" w:rsidRPr="00B427D1" w:rsidRDefault="00B427D1">
            <w:r w:rsidRPr="00B427D1">
              <w:t xml:space="preserve">Test Methods for Rockwell Hardness of Metallic Materials </w:t>
            </w:r>
          </w:p>
        </w:tc>
      </w:tr>
      <w:tr w:rsidR="00B427D1" w:rsidTr="00B427D1">
        <w:tc>
          <w:tcPr>
            <w:tcW w:w="3438" w:type="dxa"/>
          </w:tcPr>
          <w:p w:rsidR="00B427D1" w:rsidRPr="00B427D1" w:rsidRDefault="00B427D1">
            <w:r>
              <w:t>E92-82</w:t>
            </w:r>
          </w:p>
        </w:tc>
        <w:tc>
          <w:tcPr>
            <w:tcW w:w="6138" w:type="dxa"/>
          </w:tcPr>
          <w:p w:rsidR="00B427D1" w:rsidRPr="00B427D1" w:rsidRDefault="00B427D1">
            <w:r>
              <w:t xml:space="preserve">Test Method for Vickers Hardness of Metallic Materials </w:t>
            </w:r>
          </w:p>
        </w:tc>
      </w:tr>
      <w:tr w:rsidR="00B427D1" w:rsidTr="00B427D1">
        <w:tc>
          <w:tcPr>
            <w:tcW w:w="3438" w:type="dxa"/>
          </w:tcPr>
          <w:p w:rsidR="00B427D1" w:rsidRDefault="00B427D1">
            <w:r>
              <w:t>E112-96</w:t>
            </w:r>
          </w:p>
        </w:tc>
        <w:tc>
          <w:tcPr>
            <w:tcW w:w="6138" w:type="dxa"/>
          </w:tcPr>
          <w:p w:rsidR="00930B04" w:rsidRDefault="00B427D1">
            <w:r>
              <w:t xml:space="preserve">Test Methods for Determining Average Grain Size </w:t>
            </w:r>
          </w:p>
        </w:tc>
      </w:tr>
      <w:tr w:rsidR="00930B04" w:rsidTr="00B427D1">
        <w:tc>
          <w:tcPr>
            <w:tcW w:w="3438" w:type="dxa"/>
          </w:tcPr>
          <w:p w:rsidR="00930B04" w:rsidRDefault="00AF68F2">
            <w:r>
              <w:t>E3-01</w:t>
            </w:r>
          </w:p>
        </w:tc>
        <w:tc>
          <w:tcPr>
            <w:tcW w:w="6138" w:type="dxa"/>
          </w:tcPr>
          <w:p w:rsidR="00930B04" w:rsidRDefault="00AF68F2">
            <w:r>
              <w:t xml:space="preserve">Guide for Preparation of Metallographic Specimens </w:t>
            </w:r>
          </w:p>
        </w:tc>
      </w:tr>
    </w:tbl>
    <w:p w:rsidR="00B427D1" w:rsidRDefault="00B427D1">
      <w:pPr>
        <w:rPr>
          <w:u w:val="single"/>
        </w:rPr>
      </w:pPr>
    </w:p>
    <w:p w:rsidR="008F5161" w:rsidRDefault="008F5161">
      <w:pPr>
        <w:rPr>
          <w:u w:val="single"/>
        </w:rPr>
      </w:pPr>
      <w:r>
        <w:rPr>
          <w:u w:val="single"/>
        </w:rPr>
        <w:t xml:space="preserve">Parent Material </w:t>
      </w:r>
    </w:p>
    <w:p w:rsidR="008F5161" w:rsidRDefault="00E34A5E">
      <w:r>
        <w:tab/>
        <w:t>The parent material, Maraging Steel – Grade 250 (AMS 6512</w:t>
      </w:r>
      <w:r w:rsidR="006249A2">
        <w:rPr>
          <w:rStyle w:val="FootnoteReference"/>
        </w:rPr>
        <w:footnoteReference w:id="1"/>
      </w:r>
      <w:r>
        <w:t xml:space="preserve">), was shipped in the solution annealed condition (1700 F for 1 hour, air cool, 1500 F for 1 hour, air cool). </w:t>
      </w:r>
      <w:r w:rsidR="00A4723B">
        <w:t>For the purpose of observing how the mechanical</w:t>
      </w:r>
      <w:r w:rsidR="0055355B">
        <w:t xml:space="preserve"> properties of the metal altered</w:t>
      </w:r>
      <w:r w:rsidR="00A4723B">
        <w:t xml:space="preserve"> with welding and aging, several tests were performed to assess the initial (as shipped) condition of the parent material. </w:t>
      </w:r>
    </w:p>
    <w:p w:rsidR="00A4723B" w:rsidRDefault="00A4723B" w:rsidP="00A4723B">
      <w:pPr>
        <w:pStyle w:val="ListParagraph"/>
        <w:numPr>
          <w:ilvl w:val="0"/>
          <w:numId w:val="2"/>
        </w:numPr>
      </w:pPr>
      <w:r>
        <w:t>Hardness Test – This test uses an in</w:t>
      </w:r>
      <w:r w:rsidR="00171973">
        <w:t>denter to determine the general</w:t>
      </w:r>
      <w:r>
        <w:t xml:space="preserve"> hardness of a sample. Results are reported on the “Rockwell C” scale. </w:t>
      </w:r>
    </w:p>
    <w:p w:rsidR="00171973" w:rsidRDefault="00F00686" w:rsidP="00171973">
      <w:pPr>
        <w:pStyle w:val="ListParagraph"/>
        <w:numPr>
          <w:ilvl w:val="0"/>
          <w:numId w:val="2"/>
        </w:numPr>
      </w:pPr>
      <w:r>
        <w:t>Micro-hardness</w:t>
      </w:r>
      <w:r w:rsidR="00A4723B">
        <w:t xml:space="preserve"> Test – This test </w:t>
      </w:r>
      <w:r w:rsidR="00171973">
        <w:t xml:space="preserve">uses a diamond indenter to determine the hardness of a sample, and is more localized than the Rockwell test. Results are reported on the “Vickers” scale. </w:t>
      </w:r>
    </w:p>
    <w:p w:rsidR="0055355B" w:rsidRDefault="0055355B" w:rsidP="00171973">
      <w:pPr>
        <w:pStyle w:val="ListParagraph"/>
        <w:numPr>
          <w:ilvl w:val="0"/>
          <w:numId w:val="2"/>
        </w:numPr>
      </w:pPr>
      <w:r>
        <w:t xml:space="preserve">Metallography – Samples were polished and etched for the purpose of determining microstructure and grain size of the solution annealed parent material. </w:t>
      </w:r>
    </w:p>
    <w:p w:rsidR="00171973" w:rsidRDefault="00171973" w:rsidP="00171973">
      <w:pPr>
        <w:pStyle w:val="ListParagraph"/>
        <w:ind w:left="0"/>
      </w:pPr>
      <w:r>
        <w:tab/>
        <w:t>The microstructure</w:t>
      </w:r>
      <w:r w:rsidR="006249A2">
        <w:t xml:space="preserve"> of the parent material was assessed to observe the</w:t>
      </w:r>
      <w:r>
        <w:t xml:space="preserve"> changes </w:t>
      </w:r>
      <w:r w:rsidR="006249A2">
        <w:t xml:space="preserve">that </w:t>
      </w:r>
      <w:r>
        <w:t xml:space="preserve">may occur in the weld nugget, heat affected zone, or </w:t>
      </w:r>
      <w:r w:rsidR="006249A2">
        <w:t xml:space="preserve">even </w:t>
      </w:r>
      <w:r>
        <w:t xml:space="preserve">the </w:t>
      </w:r>
      <w:r w:rsidR="006249A2">
        <w:t xml:space="preserve">parent </w:t>
      </w:r>
      <w:r>
        <w:t>materia</w:t>
      </w:r>
      <w:r w:rsidR="006249A2">
        <w:t>l</w:t>
      </w:r>
      <w:r>
        <w:t xml:space="preserve"> as a result of the aging (precipitation hardening) heat treatment. The procedure for metallography is outlined below. </w:t>
      </w:r>
    </w:p>
    <w:p w:rsidR="00171973" w:rsidRDefault="00171973" w:rsidP="00171973">
      <w:pPr>
        <w:pStyle w:val="ListParagraph"/>
        <w:numPr>
          <w:ilvl w:val="0"/>
          <w:numId w:val="3"/>
        </w:numPr>
      </w:pPr>
      <w:r>
        <w:t xml:space="preserve">Samples were cut using a water jet cutter (dimensions </w:t>
      </w:r>
      <w:r w:rsidR="00E81D06">
        <w:t>1” X ½” X thickness of p</w:t>
      </w:r>
      <w:r w:rsidR="006249A2">
        <w:t>late</w:t>
      </w:r>
      <w:r w:rsidR="006249A2">
        <w:rPr>
          <w:rStyle w:val="FootnoteReference"/>
        </w:rPr>
        <w:footnoteReference w:id="2"/>
      </w:r>
      <w:r w:rsidR="00E81D06">
        <w:t xml:space="preserve">). </w:t>
      </w:r>
    </w:p>
    <w:p w:rsidR="0054273E" w:rsidRDefault="0054273E" w:rsidP="00171973">
      <w:pPr>
        <w:pStyle w:val="ListParagraph"/>
        <w:numPr>
          <w:ilvl w:val="0"/>
          <w:numId w:val="3"/>
        </w:numPr>
      </w:pPr>
      <w:r>
        <w:t xml:space="preserve">View orientations were selected with each sample to ensure equiaxed grain structure (surface, interior longitudinal, interior transverse). These cut samples were mounted in </w:t>
      </w:r>
      <w:r w:rsidR="00F00686">
        <w:t>Bakelite</w:t>
      </w:r>
      <w:r w:rsidR="003D7283">
        <w:t xml:space="preserve"> for handling</w:t>
      </w:r>
      <w:r>
        <w:t xml:space="preserve">. </w:t>
      </w:r>
    </w:p>
    <w:p w:rsidR="0054273E" w:rsidRDefault="0054273E" w:rsidP="00171973">
      <w:pPr>
        <w:pStyle w:val="ListParagraph"/>
        <w:numPr>
          <w:ilvl w:val="0"/>
          <w:numId w:val="3"/>
        </w:numPr>
      </w:pPr>
      <w:r>
        <w:t>The mounted samples were the</w:t>
      </w:r>
      <w:r w:rsidR="001B3828">
        <w:t>n polished using</w:t>
      </w:r>
      <w:r>
        <w:t xml:space="preserve"> san</w:t>
      </w:r>
      <w:r w:rsidR="001B3828">
        <w:t>ding discs and</w:t>
      </w:r>
      <w:r>
        <w:t xml:space="preserve"> buffing pads. </w:t>
      </w:r>
    </w:p>
    <w:p w:rsidR="0054273E" w:rsidRDefault="0054273E" w:rsidP="00171973">
      <w:pPr>
        <w:pStyle w:val="ListParagraph"/>
        <w:numPr>
          <w:ilvl w:val="0"/>
          <w:numId w:val="3"/>
        </w:numPr>
      </w:pPr>
      <w:r>
        <w:t>Lastly the samples were</w:t>
      </w:r>
      <w:r w:rsidR="001B3828">
        <w:t xml:space="preserve"> etched to reveal the </w:t>
      </w:r>
      <w:r>
        <w:t xml:space="preserve">microstructure of the metal. </w:t>
      </w:r>
    </w:p>
    <w:p w:rsidR="0054273E" w:rsidRDefault="0054273E" w:rsidP="0054273E">
      <w:pPr>
        <w:pStyle w:val="ListParagraph"/>
        <w:ind w:left="0"/>
      </w:pPr>
      <w:r>
        <w:tab/>
        <w:t xml:space="preserve">Considerable time was spent determining which etchant </w:t>
      </w:r>
      <w:r w:rsidR="00ED5D12">
        <w:t xml:space="preserve">revealed the microstructure </w:t>
      </w:r>
      <w:r w:rsidR="003125D3">
        <w:t xml:space="preserve">of the steel </w:t>
      </w:r>
      <w:r w:rsidR="00ED5D12">
        <w:t>most clearly</w:t>
      </w:r>
      <w:r>
        <w:t xml:space="preserve">. </w:t>
      </w:r>
      <w:r w:rsidR="003125D3">
        <w:t>The composition</w:t>
      </w:r>
      <w:r w:rsidR="00B427D1">
        <w:t xml:space="preserve"> of the </w:t>
      </w:r>
      <w:r w:rsidR="00ED5D12">
        <w:t xml:space="preserve">chemical </w:t>
      </w:r>
      <w:r w:rsidR="00B427D1">
        <w:t xml:space="preserve">etchant that yielded the best results is listed below. </w:t>
      </w:r>
      <w:r w:rsidR="00B427D1">
        <w:lastRenderedPageBreak/>
        <w:t xml:space="preserve">The etchant was </w:t>
      </w:r>
      <w:r w:rsidR="00ED5D12">
        <w:t>administered with a cotton swab, immersing the sample</w:t>
      </w:r>
      <w:r w:rsidR="00B427D1">
        <w:t xml:space="preserve"> for up to several minutes</w:t>
      </w:r>
      <w:r w:rsidR="003125D3">
        <w:rPr>
          <w:rStyle w:val="FootnoteReference"/>
        </w:rPr>
        <w:footnoteReference w:id="3"/>
      </w:r>
      <w:r w:rsidR="00B427D1">
        <w:t xml:space="preserve"> until the microstructure became visible. </w:t>
      </w:r>
    </w:p>
    <w:p w:rsidR="00B427D1" w:rsidRDefault="00B427D1" w:rsidP="00B427D1">
      <w:pPr>
        <w:pStyle w:val="ListParagraph"/>
        <w:numPr>
          <w:ilvl w:val="0"/>
          <w:numId w:val="2"/>
        </w:numPr>
      </w:pPr>
      <w:r>
        <w:t xml:space="preserve">50 mL HCl </w:t>
      </w:r>
    </w:p>
    <w:p w:rsidR="00B427D1" w:rsidRDefault="00B427D1" w:rsidP="00B427D1">
      <w:pPr>
        <w:pStyle w:val="ListParagraph"/>
        <w:numPr>
          <w:ilvl w:val="0"/>
          <w:numId w:val="2"/>
        </w:numPr>
      </w:pPr>
      <w:r>
        <w:t>25 mL HNO</w:t>
      </w:r>
      <w:r>
        <w:rPr>
          <w:vertAlign w:val="subscript"/>
        </w:rPr>
        <w:t>3</w:t>
      </w:r>
      <w:r>
        <w:t xml:space="preserve"> </w:t>
      </w:r>
    </w:p>
    <w:p w:rsidR="00B427D1" w:rsidRDefault="00B427D1" w:rsidP="00B427D1">
      <w:pPr>
        <w:pStyle w:val="ListParagraph"/>
        <w:numPr>
          <w:ilvl w:val="0"/>
          <w:numId w:val="2"/>
        </w:numPr>
      </w:pPr>
      <w:r>
        <w:t>1 g CuCl</w:t>
      </w:r>
      <w:r>
        <w:rPr>
          <w:vertAlign w:val="subscript"/>
        </w:rPr>
        <w:t>2</w:t>
      </w:r>
      <w:r>
        <w:t xml:space="preserve"> </w:t>
      </w:r>
    </w:p>
    <w:p w:rsidR="00B427D1" w:rsidRDefault="00B427D1" w:rsidP="00B427D1">
      <w:pPr>
        <w:pStyle w:val="ListParagraph"/>
        <w:numPr>
          <w:ilvl w:val="0"/>
          <w:numId w:val="2"/>
        </w:numPr>
      </w:pPr>
      <w:r>
        <w:t xml:space="preserve">150 mL water </w:t>
      </w:r>
    </w:p>
    <w:p w:rsidR="0059664C" w:rsidRDefault="0059664C" w:rsidP="0059664C">
      <w:pPr>
        <w:pStyle w:val="ListParagraph"/>
        <w:ind w:left="0"/>
      </w:pPr>
      <w:r>
        <w:tab/>
        <w:t xml:space="preserve">The hardness of the parent material was </w:t>
      </w:r>
      <w:r w:rsidR="00CD6429">
        <w:t>tested on two different scales in accordance with ASTM standard procedures</w:t>
      </w:r>
      <w:r>
        <w:t xml:space="preserve">. </w:t>
      </w:r>
      <w:r w:rsidR="00CD6429">
        <w:t xml:space="preserve">A 150 kg load was applied when measuring the Rockwell C hardness and a 500 g load was applied when measuring the Vickers micro-hardness with a dwell time of 20 seconds. </w:t>
      </w:r>
    </w:p>
    <w:p w:rsidR="0059664C" w:rsidRDefault="0059664C" w:rsidP="0059664C">
      <w:pPr>
        <w:pStyle w:val="ListParagraph"/>
        <w:ind w:left="0"/>
      </w:pPr>
    </w:p>
    <w:p w:rsidR="00A55637" w:rsidRDefault="00A55637" w:rsidP="0059664C">
      <w:pPr>
        <w:pStyle w:val="ListParagraph"/>
        <w:ind w:left="0"/>
        <w:rPr>
          <w:u w:val="single"/>
        </w:rPr>
      </w:pPr>
      <w:r>
        <w:rPr>
          <w:u w:val="single"/>
        </w:rPr>
        <w:t xml:space="preserve">Parameter Optimization </w:t>
      </w:r>
    </w:p>
    <w:p w:rsidR="00A55637" w:rsidRDefault="00612CAD" w:rsidP="0059664C">
      <w:pPr>
        <w:pStyle w:val="ListParagraph"/>
        <w:ind w:left="0"/>
      </w:pPr>
      <w:r>
        <w:tab/>
        <w:t>P</w:t>
      </w:r>
      <w:r w:rsidR="00A55637">
        <w:t>arameters of</w:t>
      </w:r>
      <w:r>
        <w:t xml:space="preserve"> the friction stir</w:t>
      </w:r>
      <w:r w:rsidR="00A55637">
        <w:t xml:space="preserve"> welding </w:t>
      </w:r>
      <w:r>
        <w:t xml:space="preserve">process </w:t>
      </w:r>
      <w:r w:rsidR="00A55637">
        <w:t>were tested fo</w:t>
      </w:r>
      <w:r>
        <w:t>r quality</w:t>
      </w:r>
      <w:r w:rsidR="00A55637">
        <w:t xml:space="preserve">. The principal parameters considered were tool force exerted down on the metal plate, rotational speed of the tool, and traveling speed of the tool. </w:t>
      </w:r>
      <w:r w:rsidR="0055355B">
        <w:t>Nine</w:t>
      </w:r>
      <w:r w:rsidR="00A82107">
        <w:t xml:space="preserve"> processing lines were drawn ut</w:t>
      </w:r>
      <w:r w:rsidR="0055355B">
        <w:t>ilizing two different pin-length</w:t>
      </w:r>
      <w:r w:rsidR="00A82107">
        <w:t xml:space="preserve"> tools and a variation of </w:t>
      </w:r>
      <w:r w:rsidR="00B72F9D">
        <w:t xml:space="preserve">the aforementioned </w:t>
      </w:r>
      <w:r w:rsidR="00A82107">
        <w:t xml:space="preserve">parameters. After processing, the </w:t>
      </w:r>
      <w:r w:rsidR="00F00686">
        <w:t>quality of the welds was</w:t>
      </w:r>
      <w:r w:rsidR="00A82107">
        <w:t xml:space="preserve"> tested by visual inspection, metallography, and hardness testing. </w:t>
      </w:r>
    </w:p>
    <w:p w:rsidR="00A82107" w:rsidRPr="00B72F9D" w:rsidRDefault="00A82107" w:rsidP="0059664C">
      <w:pPr>
        <w:pStyle w:val="ListParagraph"/>
        <w:ind w:left="0"/>
      </w:pPr>
      <w:r>
        <w:tab/>
        <w:t>Several welds could be disregarded upon visual inspection – massive inclusions or voids</w:t>
      </w:r>
      <w:r w:rsidR="00B72F9D">
        <w:t xml:space="preserve"> were apparent without further testing</w:t>
      </w:r>
      <w:r>
        <w:t xml:space="preserve">. Most fine tuning </w:t>
      </w:r>
      <w:r w:rsidR="00B72F9D">
        <w:t>of the parameters was completed</w:t>
      </w:r>
      <w:r>
        <w:t xml:space="preserve"> with metallography, cutting the welds into cross sectional samples </w:t>
      </w:r>
      <w:r w:rsidR="00B72F9D">
        <w:t xml:space="preserve">and polishing </w:t>
      </w:r>
      <w:r>
        <w:t>to reveal wormholes</w:t>
      </w:r>
      <w:r w:rsidR="00D739A7">
        <w:t xml:space="preserve"> and other defects as well as the </w:t>
      </w:r>
      <w:r w:rsidR="00545C4A">
        <w:t>structure of the weld nugget, heat affe</w:t>
      </w:r>
      <w:r w:rsidR="00B72F9D">
        <w:t>cted zone (HAZ), and parent material. The wormholes found were usually located near the bottom of the weld nugget</w:t>
      </w:r>
      <w:r w:rsidR="00612CAD">
        <w:t xml:space="preserve"> on the advancing side</w:t>
      </w:r>
      <w:r w:rsidR="00B72F9D">
        <w:t xml:space="preserve">, as depicted in </w:t>
      </w:r>
      <w:r w:rsidR="00612CAD">
        <w:rPr>
          <w:i/>
        </w:rPr>
        <w:t>Figure 3</w:t>
      </w:r>
      <w:r w:rsidR="00B72F9D">
        <w:t xml:space="preserve"> below. </w:t>
      </w:r>
    </w:p>
    <w:p w:rsidR="00B72F9D" w:rsidRDefault="00B72F9D" w:rsidP="00B4447C">
      <w:pPr>
        <w:pStyle w:val="ListParagraph"/>
        <w:keepNext/>
        <w:spacing w:after="0"/>
        <w:ind w:left="0"/>
      </w:pPr>
      <w:r>
        <w:rPr>
          <w:noProof/>
        </w:rPr>
        <w:drawing>
          <wp:inline distT="0" distB="0" distL="0" distR="0" wp14:anchorId="28AEAB27" wp14:editId="4FE8BE33">
            <wp:extent cx="5929262"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weld.jpg"/>
                    <pic:cNvPicPr/>
                  </pic:nvPicPr>
                  <pic:blipFill>
                    <a:blip r:embed="rId14">
                      <a:extLst>
                        <a:ext uri="{28A0092B-C50C-407E-A947-70E740481C1C}">
                          <a14:useLocalDpi xmlns:a14="http://schemas.microsoft.com/office/drawing/2010/main" val="0"/>
                        </a:ext>
                      </a:extLst>
                    </a:blip>
                    <a:stretch>
                      <a:fillRect/>
                    </a:stretch>
                  </pic:blipFill>
                  <pic:spPr>
                    <a:xfrm>
                      <a:off x="0" y="0"/>
                      <a:ext cx="5948327" cy="1844236"/>
                    </a:xfrm>
                    <a:prstGeom prst="rect">
                      <a:avLst/>
                    </a:prstGeom>
                  </pic:spPr>
                </pic:pic>
              </a:graphicData>
            </a:graphic>
          </wp:inline>
        </w:drawing>
      </w:r>
    </w:p>
    <w:p w:rsidR="00B72F9D" w:rsidRDefault="00B72F9D" w:rsidP="00B4447C">
      <w:pPr>
        <w:pStyle w:val="Caption"/>
        <w:spacing w:after="0"/>
      </w:pPr>
      <w:r>
        <w:t xml:space="preserve">Figure </w:t>
      </w:r>
      <w:fldSimple w:instr=" SEQ Figure \* ARABIC ">
        <w:r w:rsidR="00E90069">
          <w:rPr>
            <w:noProof/>
          </w:rPr>
          <w:t>3</w:t>
        </w:r>
      </w:fldSimple>
      <w:r>
        <w:t xml:space="preserve"> - Weld cross section showing nugget, HAZ, and wormhole defect</w:t>
      </w:r>
    </w:p>
    <w:p w:rsidR="00B72F9D" w:rsidRDefault="00B72F9D" w:rsidP="00B4447C">
      <w:pPr>
        <w:spacing w:before="240"/>
      </w:pPr>
      <w:r>
        <w:tab/>
      </w:r>
      <w:r w:rsidR="00865F92">
        <w:t>The manifestation of wormholes is</w:t>
      </w:r>
      <w:r w:rsidR="00612CAD">
        <w:t xml:space="preserve"> likely</w:t>
      </w:r>
      <w:r w:rsidR="003D7EC1">
        <w:t xml:space="preserve"> related to the temperature reached during welding. The higher the temperature achieved during welding, the more viscous the material and therefore the more easily it will flow and “fill in” these voids. Conversely, the cooler the </w:t>
      </w:r>
      <w:r w:rsidR="00F00686">
        <w:t>material the more it will stick to the pin as it rotates and leaves</w:t>
      </w:r>
      <w:r w:rsidR="003D7EC1">
        <w:t xml:space="preserve"> these voids be</w:t>
      </w:r>
      <w:r w:rsidR="00B4447C">
        <w:t>hi</w:t>
      </w:r>
      <w:r w:rsidR="00612CAD">
        <w:t>nd. Also, the hotter the weld</w:t>
      </w:r>
      <w:r w:rsidR="00B4447C">
        <w:t xml:space="preserve"> the slower the process and the greater the tool wear, both of which have negative impacts on the feasibility of industrial </w:t>
      </w:r>
      <w:r w:rsidR="00B4447C">
        <w:lastRenderedPageBreak/>
        <w:t>application. Optimization of wel</w:t>
      </w:r>
      <w:r w:rsidR="00612CAD">
        <w:t>ding parameters then proved to be a balance of all</w:t>
      </w:r>
      <w:r w:rsidR="00B4447C">
        <w:t xml:space="preserve"> </w:t>
      </w:r>
      <w:r w:rsidR="00612CAD">
        <w:t xml:space="preserve">aforementioned </w:t>
      </w:r>
      <w:r w:rsidR="00B4447C">
        <w:t xml:space="preserve">considerations. </w:t>
      </w:r>
    </w:p>
    <w:p w:rsidR="00B4447C" w:rsidRDefault="00B4447C" w:rsidP="00B72F9D">
      <w:r>
        <w:tab/>
        <w:t xml:space="preserve">Lastly, micro-hardness testing was conducted on the metal in the as welded condition to observe the effect of friction stir processing on the mechanical properties of the metal. Care was taken in drawing indentations straight across the middle of the cross section of the weld so as to travel from the parent material, through the heat affected zone, across the nugget, through the HAZ on the opposite side, and back into the parent material. The path of micro-hardness testing indentations is visible in </w:t>
      </w:r>
      <w:r w:rsidR="00612CAD">
        <w:rPr>
          <w:i/>
        </w:rPr>
        <w:t>Figure 3</w:t>
      </w:r>
      <w:r>
        <w:rPr>
          <w:i/>
        </w:rPr>
        <w:t xml:space="preserve"> </w:t>
      </w:r>
      <w:r>
        <w:t xml:space="preserve">above. </w:t>
      </w:r>
    </w:p>
    <w:p w:rsidR="00B4447C" w:rsidRDefault="00B4447C" w:rsidP="00B72F9D">
      <w:pPr>
        <w:rPr>
          <w:u w:val="single"/>
        </w:rPr>
      </w:pPr>
      <w:r>
        <w:rPr>
          <w:u w:val="single"/>
        </w:rPr>
        <w:t xml:space="preserve">Post Weld Heat Treatments </w:t>
      </w:r>
    </w:p>
    <w:p w:rsidR="00B4447C" w:rsidRDefault="00B4447C" w:rsidP="00B72F9D">
      <w:r>
        <w:tab/>
        <w:t xml:space="preserve">As </w:t>
      </w:r>
      <w:r w:rsidR="00612CAD">
        <w:t xml:space="preserve">previously mentioned, it is </w:t>
      </w:r>
      <w:r>
        <w:t>normal practice with maraging steel to weld and machine the metal in the solu</w:t>
      </w:r>
      <w:r w:rsidR="00930B04">
        <w:t xml:space="preserve">tion annealed (as shipped) </w:t>
      </w:r>
      <w:r w:rsidR="00612CAD">
        <w:t>state</w:t>
      </w:r>
      <w:r>
        <w:t xml:space="preserve"> due to its malleability an</w:t>
      </w:r>
      <w:r w:rsidR="00612CAD">
        <w:t>d ductility in this condition. It is o</w:t>
      </w:r>
      <w:r>
        <w:t>nce machining</w:t>
      </w:r>
      <w:r w:rsidR="00612CAD">
        <w:t xml:space="preserve"> and welding is complete </w:t>
      </w:r>
      <w:r>
        <w:t xml:space="preserve">when the aging (precipitation hardening) process is </w:t>
      </w:r>
      <w:r w:rsidR="00612CAD">
        <w:t xml:space="preserve">generally </w:t>
      </w:r>
      <w:r>
        <w:t>administere</w:t>
      </w:r>
      <w:r w:rsidR="008F1663">
        <w:t>d. It is known that</w:t>
      </w:r>
      <w:r>
        <w:t xml:space="preserve"> a joint efficiency of 90%+ is achievable by other means of material joining then friction stir wel</w:t>
      </w:r>
      <w:r w:rsidR="008F1663">
        <w:t>ding (</w:t>
      </w:r>
      <w:proofErr w:type="spellStart"/>
      <w:r w:rsidR="008F1663">
        <w:t>Lampman</w:t>
      </w:r>
      <w:proofErr w:type="spellEnd"/>
      <w:r w:rsidR="008F1663">
        <w:t xml:space="preserve"> and </w:t>
      </w:r>
      <w:proofErr w:type="spellStart"/>
      <w:r w:rsidR="008F1663">
        <w:t>Crankovic</w:t>
      </w:r>
      <w:proofErr w:type="spellEnd"/>
      <w:r w:rsidR="008F1663">
        <w:t>, 1990</w:t>
      </w:r>
      <w:r>
        <w:t xml:space="preserve">). In order to determine the joint efficiency achievable with friction stir processing, a heat-treatment diagram was developed to optimize the mechanical properties after welding. </w:t>
      </w:r>
    </w:p>
    <w:p w:rsidR="00B4447C" w:rsidRDefault="00B4447C" w:rsidP="00B72F9D">
      <w:r>
        <w:tab/>
        <w:t xml:space="preserve">An outline of the times and temperatures at which samples were aged is shown below in </w:t>
      </w:r>
      <w:r w:rsidR="00A0778E">
        <w:rPr>
          <w:i/>
        </w:rPr>
        <w:t>Table 2</w:t>
      </w:r>
      <w:r>
        <w:t>. It is known that the high nickel content of the steel allows for a relatively slow cooling time without any austenitic reversion</w:t>
      </w:r>
      <w:r w:rsidR="008F1663">
        <w:t xml:space="preserve"> (</w:t>
      </w:r>
      <w:proofErr w:type="spellStart"/>
      <w:r w:rsidR="008F1663">
        <w:t>Lampman</w:t>
      </w:r>
      <w:proofErr w:type="spellEnd"/>
      <w:r w:rsidR="008F1663">
        <w:t xml:space="preserve"> and </w:t>
      </w:r>
      <w:proofErr w:type="spellStart"/>
      <w:r w:rsidR="008F1663">
        <w:t>Crankovic</w:t>
      </w:r>
      <w:proofErr w:type="spellEnd"/>
      <w:r w:rsidR="008F1663">
        <w:t>, 1990)</w:t>
      </w:r>
      <w:r>
        <w:t>. Also, precipitation hardening occurs at temperatures much lower than that of the melting temperature, or even austenitic reversion. Therefore it was not necessary for the heat treatments administered to follow any special heating or quenchi</w:t>
      </w:r>
      <w:r w:rsidR="008F1663">
        <w:t>ng rate. The samples were</w:t>
      </w:r>
      <w:r>
        <w:t xml:space="preserve"> placed in the preheated furnace for the allotted amount of time, then removed from the furn</w:t>
      </w:r>
      <w:r w:rsidR="008F1663">
        <w:t>ace and air cooled under the breeze</w:t>
      </w:r>
      <w:r>
        <w:t xml:space="preserve"> </w:t>
      </w:r>
      <w:r w:rsidR="008F1663">
        <w:t>of a regular electric house fan. Lastly,</w:t>
      </w:r>
      <w:r>
        <w:t xml:space="preserve"> to achieve consistent results all nine samples were cut from the same weld. </w:t>
      </w:r>
    </w:p>
    <w:p w:rsidR="009E7551" w:rsidRDefault="009E7551" w:rsidP="009E7551">
      <w:pPr>
        <w:pStyle w:val="Caption"/>
        <w:keepNext/>
        <w:spacing w:after="0"/>
      </w:pPr>
      <w:r>
        <w:t xml:space="preserve">Table </w:t>
      </w:r>
      <w:r w:rsidR="00A0778E">
        <w:t>2</w:t>
      </w:r>
      <w:r>
        <w:t xml:space="preserve"> - Post Weld Heat Treatments</w:t>
      </w:r>
    </w:p>
    <w:tbl>
      <w:tblPr>
        <w:tblStyle w:val="TableGrid"/>
        <w:tblW w:w="9576" w:type="dxa"/>
        <w:tblLook w:val="04A0" w:firstRow="1" w:lastRow="0" w:firstColumn="1" w:lastColumn="0" w:noHBand="0" w:noVBand="1"/>
      </w:tblPr>
      <w:tblGrid>
        <w:gridCol w:w="2718"/>
        <w:gridCol w:w="2070"/>
        <w:gridCol w:w="2394"/>
        <w:gridCol w:w="2394"/>
      </w:tblGrid>
      <w:tr w:rsidR="00DD2449" w:rsidRPr="00DD2449" w:rsidTr="00930B04">
        <w:trPr>
          <w:trHeight w:val="647"/>
        </w:trPr>
        <w:tc>
          <w:tcPr>
            <w:tcW w:w="2718" w:type="dxa"/>
            <w:noWrap/>
            <w:hideMark/>
          </w:tcPr>
          <w:p w:rsidR="00DD2449" w:rsidRPr="00DD2449" w:rsidRDefault="001D4057" w:rsidP="00DD2449">
            <w:pPr>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660288" behindDoc="0" locked="0" layoutInCell="1" allowOverlap="1" wp14:anchorId="2ED58BDC" wp14:editId="51634EE3">
                      <wp:simplePos x="0" y="0"/>
                      <wp:positionH relativeFrom="column">
                        <wp:posOffset>1343025</wp:posOffset>
                      </wp:positionH>
                      <wp:positionV relativeFrom="paragraph">
                        <wp:posOffset>151765</wp:posOffset>
                      </wp:positionV>
                      <wp:extent cx="23812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2381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05.75pt;margin-top:11.95pt;width:18.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IL7QEAADkEAAAOAAAAZHJzL2Uyb0RvYy54bWysU8GO2yAQvVfqPyDujZ1EW22jOKtVtttL&#10;1Ubd9gNYDDESMGigcfL3HbDjbLanVnvBwMybN+95WN8dnWUHhdGAb/h8VnOmvITW+H3Df/18/HDL&#10;WUzCt8KCVw0/qcjvNu/frfuwUgvowLYKGRXxcdWHhncphVVVRdkpJ+IMgvIU1IBOJDrivmpR9FTd&#10;2WpR1x+rHrANCFLFSLcPQ5BvSn2tlUzftY4qMdtw6i2VFcv6nNdqsxarPYrQGTm2If6jCyeMJ9Kp&#10;1INIgv1G81cpZyRCBJ1mElwFWhupigZSM69fqXnqRFBFC5kTw2RTfLuy8tthh8y0DV9y5oWjX/SU&#10;UJh9l9g9IvRsC96TjYBsmd3qQ1wRaOt3OJ5i2GGWftTo8pdEsWNx+DQ5rI6JSbpcLG/nixvO5DlU&#10;XXABY/qiwLG8aXgc25j458VgcfgaEzET8AzIpNaznubvU31Tl7QI1rSPxtocLNOkthbZQdAcpOM8&#10;K6EKV1lJGPvZtyydArkgsvgxzXrKzsIHqWWXTlYNxD+UJgNJ3NDgKzIhpfLpTGg9ZWeYptYm4Nhy&#10;nvlLl9fAMT9DVRnrfwFPiMIMPk1gZzzgYNg1+8UjPeSfHRh0ZwueoT2VISjW0HwWS8e3lB/Ay3OB&#10;X1785g8AAAD//wMAUEsDBBQABgAIAAAAIQCJmWyz2gAAAAkBAAAPAAAAZHJzL2Rvd25yZXYueG1s&#10;TI9BTsMwEEX3SNzBGiR21EmAiIY4FQL1ALg9wNQ2SZR4HMVuEzg9g1jAbmb+15/3693qR3Fxc+wD&#10;Kcg3GQhHJtieWgXHw/7uCURMSBbHQE7Bp4uwa66vaqxsWOjdXXRqBYdQrFBBl9JUSRlN5zzGTZgc&#10;sfYRZo+J17mVdsaFw/0oiywrpcee+EOHk3vtnBn02SvQw7LXpIf2YEvTl0hvZPSXUrc368sziOTW&#10;9GeGH3xGh4aZTuFMNopRQZHnj2zl4X4Lgg3Fw5bLnX4Psqnl/wbNNwAAAP//AwBQSwECLQAUAAYA&#10;CAAAACEAtoM4kv4AAADhAQAAEwAAAAAAAAAAAAAAAAAAAAAAW0NvbnRlbnRfVHlwZXNdLnhtbFBL&#10;AQItABQABgAIAAAAIQA4/SH/1gAAAJQBAAALAAAAAAAAAAAAAAAAAC8BAABfcmVscy8ucmVsc1BL&#10;AQItABQABgAIAAAAIQCMdLIL7QEAADkEAAAOAAAAAAAAAAAAAAAAAC4CAABkcnMvZTJvRG9jLnht&#10;bFBLAQItABQABgAIAAAAIQCJmWyz2gAAAAkBAAAPAAAAAAAAAAAAAAAAAEcEAABkcnMvZG93bnJl&#10;di54bWxQSwUGAAAAAAQABADzAAAATgUAAAAA&#10;" strokecolor="black [3213]" strokeweight="1.5pt">
                      <v:stroke endarrow="open"/>
                    </v:shape>
                  </w:pict>
                </mc:Fallback>
              </mc:AlternateContent>
            </w:r>
            <w:r>
              <w:rPr>
                <w:rFonts w:ascii="Calibri" w:eastAsia="Times New Roman" w:hAnsi="Calibri" w:cs="Calibri"/>
                <w:noProof/>
                <w:color w:val="000000"/>
              </w:rPr>
              <mc:AlternateContent>
                <mc:Choice Requires="wps">
                  <w:drawing>
                    <wp:anchor distT="0" distB="0" distL="114300" distR="114300" simplePos="0" relativeHeight="251659264" behindDoc="0" locked="0" layoutInCell="1" allowOverlap="1" wp14:anchorId="69D63DBE" wp14:editId="5B0B95B6">
                      <wp:simplePos x="0" y="0"/>
                      <wp:positionH relativeFrom="column">
                        <wp:posOffset>857250</wp:posOffset>
                      </wp:positionH>
                      <wp:positionV relativeFrom="paragraph">
                        <wp:posOffset>18415</wp:posOffset>
                      </wp:positionV>
                      <wp:extent cx="0" cy="304800"/>
                      <wp:effectExtent l="95250" t="0" r="57150" b="57150"/>
                      <wp:wrapNone/>
                      <wp:docPr id="1" name="Straight Arrow Connector 1"/>
                      <wp:cNvGraphicFramePr/>
                      <a:graphic xmlns:a="http://schemas.openxmlformats.org/drawingml/2006/main">
                        <a:graphicData uri="http://schemas.microsoft.com/office/word/2010/wordprocessingShape">
                          <wps:wsp>
                            <wps:cNvCnPr/>
                            <wps:spPr>
                              <a:xfrm>
                                <a:off x="0" y="0"/>
                                <a:ext cx="0" cy="304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 o:spid="_x0000_s1026" type="#_x0000_t32" style="position:absolute;margin-left:67.5pt;margin-top:1.45pt;width:0;height:2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P6wEAADkEAAAOAAAAZHJzL2Uyb0RvYy54bWysU9uO0zAQfUfiHyy/06TLRUvUdIW6LC8I&#10;KhY+wOvYjSXbY41Nk/49YydN6fIE4sXXOXPmHI83d6Oz7KgwGvAtX69qzpSX0Bl/aPmP7w+vbjmL&#10;SfhOWPCq5ScV+d325YvNEBp1Az3YTiGjJD42Q2h5n1JoqirKXjkRVxCUp0sN6ESiLR6qDsVA2Z2t&#10;bur6XTUAdgFBqhjp9H665NuSX2sl01eto0rMtpxqS2XEMj7lsdpuRHNAEXoj5zLEP1ThhPFEuqS6&#10;F0mwn2j+SOWMRIig00qCq0BrI1XRQGrW9TM1j70Iqmghc2JYbIr/L638ctwjMx29HWdeOHqix4TC&#10;HPrEPiDCwHbgPdkIyNbZrSHEhkA7v8d5F8Mes/RRo8sziWJjcfi0OKzGxOR0KOn0df3mti7mVxdc&#10;wJg+KXAsL1oe5zIW/nUxWBw/x0TMBDwDMqn1bCAN7+u3dQmLYE33YKzNl6Wb1M4iOwrqgzQWJZTh&#10;KioJYz/6jqVTIBdEFp8FU5j1NGXhk9SySierJuJvSpOBJG4q8BmZkFL5dCa0nqIzTFNpC3AuOff8&#10;pcpr4Byfoaq09d+AF0RhBp8WsDMecDLsmv3ikZ7izw5MurMFT9CdShMUa6g/i1fzX8of4Pd9gV9+&#10;/PYXAAAA//8DAFBLAwQUAAYACAAAACEAe+4QqtgAAAAIAQAADwAAAGRycy9kb3ducmV2LnhtbEyP&#10;QU7DMBBF90jcwRqk7qhDq0ZtGqdCoB4AlwNM7WkSJR5HsdsETo/LBpZPf/Tn/fIwu17caAytZwUv&#10;ywwEsfG25VrB5+n4vAURIrLF3jMp+KIAh+rxocTC+ok/6KZjLVIJhwIVNDEOhZTBNOQwLP1AnLKL&#10;Hx3GhGMt7YhTKne9XGVZLh22nD40ONBbQ6bTV6dAd9NRs+7qk81NmyO/s9HfSi2e5tc9iEhz/DuG&#10;u35Shyo5nf2VbRB94vUmbYkKVjsQ9/yXzwo22Q5kVcr/A6ofAAAA//8DAFBLAQItABQABgAIAAAA&#10;IQC2gziS/gAAAOEBAAATAAAAAAAAAAAAAAAAAAAAAABbQ29udGVudF9UeXBlc10ueG1sUEsBAi0A&#10;FAAGAAgAAAAhADj9If/WAAAAlAEAAAsAAAAAAAAAAAAAAAAALwEAAF9yZWxzLy5yZWxzUEsBAi0A&#10;FAAGAAgAAAAhAMpMqQ/rAQAAOQQAAA4AAAAAAAAAAAAAAAAALgIAAGRycy9lMm9Eb2MueG1sUEsB&#10;Ai0AFAAGAAgAAAAhAHvuEKrYAAAACAEAAA8AAAAAAAAAAAAAAAAARQQAAGRycy9kb3ducmV2Lnht&#10;bFBLBQYAAAAABAAEAPMAAABKBQAAAAA=&#10;" strokecolor="black [3213]" strokeweight="1.5pt">
                      <v:stroke endarrow="open"/>
                    </v:shape>
                  </w:pict>
                </mc:Fallback>
              </mc:AlternateContent>
            </w:r>
            <w:r w:rsidR="00DD2449" w:rsidRPr="00DD2449">
              <w:rPr>
                <w:rFonts w:ascii="Calibri" w:eastAsia="Times New Roman" w:hAnsi="Calibri" w:cs="Calibri"/>
                <w:color w:val="000000"/>
              </w:rPr>
              <w:t>Temperature</w:t>
            </w:r>
            <w:r w:rsidR="00930B04">
              <w:rPr>
                <w:rFonts w:ascii="Calibri" w:eastAsia="Times New Roman" w:hAnsi="Calibri" w:cs="Calibri"/>
                <w:color w:val="000000"/>
              </w:rPr>
              <w:t xml:space="preserve">      </w:t>
            </w:r>
            <w:r w:rsidR="00DD2449" w:rsidRPr="00DD2449">
              <w:rPr>
                <w:rFonts w:ascii="Calibri" w:eastAsia="Times New Roman" w:hAnsi="Calibri" w:cs="Calibri"/>
                <w:color w:val="000000"/>
              </w:rPr>
              <w:t xml:space="preserve"> </w:t>
            </w:r>
            <w:r w:rsidR="00930B04">
              <w:rPr>
                <w:rFonts w:ascii="Calibri" w:eastAsia="Times New Roman" w:hAnsi="Calibri" w:cs="Calibri"/>
                <w:color w:val="000000"/>
              </w:rPr>
              <w:t xml:space="preserve">Time </w:t>
            </w:r>
            <w:r w:rsidR="00DD2449" w:rsidRPr="00DD2449">
              <w:rPr>
                <w:rFonts w:ascii="Calibri" w:eastAsia="Times New Roman" w:hAnsi="Calibri" w:cs="Calibri"/>
                <w:color w:val="000000"/>
              </w:rPr>
              <w:t>(</w:t>
            </w:r>
            <w:r w:rsidR="00B07851">
              <w:rPr>
                <w:rFonts w:ascii="Calibri" w:eastAsia="Times New Roman" w:hAnsi="Calibri" w:cs="Calibri"/>
                <w:color w:val="000000"/>
              </w:rPr>
              <w:t>Fahrenheit</w:t>
            </w:r>
            <w:r w:rsidR="00DD2449" w:rsidRPr="00DD2449">
              <w:rPr>
                <w:rFonts w:ascii="Calibri" w:eastAsia="Times New Roman" w:hAnsi="Calibri" w:cs="Calibri"/>
                <w:color w:val="000000"/>
              </w:rPr>
              <w:t xml:space="preserve">) </w:t>
            </w:r>
            <w:r w:rsidR="00930B04">
              <w:rPr>
                <w:rFonts w:ascii="Calibri" w:eastAsia="Times New Roman" w:hAnsi="Calibri" w:cs="Calibri"/>
                <w:color w:val="000000"/>
              </w:rPr>
              <w:t xml:space="preserve">     (hours)</w:t>
            </w:r>
          </w:p>
        </w:tc>
        <w:tc>
          <w:tcPr>
            <w:tcW w:w="2070" w:type="dxa"/>
            <w:noWrap/>
            <w:hideMark/>
          </w:tcPr>
          <w:p w:rsidR="00DD2449" w:rsidRPr="00DD2449" w:rsidRDefault="00930B04" w:rsidP="00930B04">
            <w:pPr>
              <w:jc w:val="center"/>
              <w:rPr>
                <w:rFonts w:ascii="Calibri" w:eastAsia="Times New Roman" w:hAnsi="Calibri" w:cs="Calibri"/>
                <w:color w:val="000000"/>
              </w:rPr>
            </w:pPr>
            <w:r>
              <w:rPr>
                <w:rFonts w:ascii="Calibri" w:eastAsia="Times New Roman" w:hAnsi="Calibri" w:cs="Calibri"/>
                <w:color w:val="000000"/>
              </w:rPr>
              <w:t>1</w:t>
            </w:r>
          </w:p>
        </w:tc>
        <w:tc>
          <w:tcPr>
            <w:tcW w:w="2394" w:type="dxa"/>
            <w:noWrap/>
            <w:hideMark/>
          </w:tcPr>
          <w:p w:rsidR="00DD2449" w:rsidRPr="00DD2449" w:rsidRDefault="00930B04" w:rsidP="00930B04">
            <w:pPr>
              <w:jc w:val="center"/>
              <w:rPr>
                <w:rFonts w:ascii="Calibri" w:eastAsia="Times New Roman" w:hAnsi="Calibri" w:cs="Calibri"/>
                <w:color w:val="000000"/>
              </w:rPr>
            </w:pPr>
            <w:r>
              <w:rPr>
                <w:rFonts w:ascii="Calibri" w:eastAsia="Times New Roman" w:hAnsi="Calibri" w:cs="Calibri"/>
                <w:color w:val="000000"/>
              </w:rPr>
              <w:t>5</w:t>
            </w:r>
          </w:p>
        </w:tc>
        <w:tc>
          <w:tcPr>
            <w:tcW w:w="2394" w:type="dxa"/>
            <w:noWrap/>
            <w:hideMark/>
          </w:tcPr>
          <w:p w:rsidR="00DD2449" w:rsidRPr="00DD2449" w:rsidRDefault="00930B04" w:rsidP="00930B04">
            <w:pPr>
              <w:jc w:val="center"/>
              <w:rPr>
                <w:rFonts w:ascii="Calibri" w:eastAsia="Times New Roman" w:hAnsi="Calibri" w:cs="Calibri"/>
                <w:color w:val="000000"/>
              </w:rPr>
            </w:pPr>
            <w:r>
              <w:rPr>
                <w:rFonts w:ascii="Calibri" w:eastAsia="Times New Roman" w:hAnsi="Calibri" w:cs="Calibri"/>
                <w:color w:val="000000"/>
              </w:rPr>
              <w:t>15</w:t>
            </w:r>
          </w:p>
        </w:tc>
      </w:tr>
      <w:tr w:rsidR="00DD2449" w:rsidRPr="00DD2449" w:rsidTr="00930B04">
        <w:trPr>
          <w:trHeight w:val="300"/>
        </w:trPr>
        <w:tc>
          <w:tcPr>
            <w:tcW w:w="2718" w:type="dxa"/>
            <w:noWrap/>
            <w:hideMark/>
          </w:tcPr>
          <w:p w:rsidR="00DD2449" w:rsidRPr="00DD2449" w:rsidRDefault="00DD2449" w:rsidP="00DD2449">
            <w:pPr>
              <w:jc w:val="right"/>
              <w:rPr>
                <w:rFonts w:ascii="Calibri" w:eastAsia="Times New Roman" w:hAnsi="Calibri" w:cs="Calibri"/>
                <w:color w:val="000000"/>
              </w:rPr>
            </w:pPr>
            <w:r w:rsidRPr="00DD2449">
              <w:rPr>
                <w:rFonts w:ascii="Calibri" w:eastAsia="Times New Roman" w:hAnsi="Calibri" w:cs="Calibri"/>
                <w:color w:val="000000"/>
              </w:rPr>
              <w:t>800</w:t>
            </w:r>
          </w:p>
        </w:tc>
        <w:tc>
          <w:tcPr>
            <w:tcW w:w="2070" w:type="dxa"/>
            <w:noWrap/>
            <w:hideMark/>
          </w:tcPr>
          <w:p w:rsidR="00DD2449" w:rsidRPr="00DD2449" w:rsidRDefault="00930B04" w:rsidP="00DD2449">
            <w:pPr>
              <w:rPr>
                <w:rFonts w:ascii="Calibri" w:eastAsia="Times New Roman" w:hAnsi="Calibri" w:cs="Calibri"/>
                <w:color w:val="000000"/>
              </w:rPr>
            </w:pPr>
            <w:r>
              <w:rPr>
                <w:rFonts w:ascii="Calibri" w:eastAsia="Times New Roman" w:hAnsi="Calibri" w:cs="Calibri"/>
                <w:color w:val="000000"/>
              </w:rPr>
              <w:t xml:space="preserve">Sample </w:t>
            </w:r>
            <w:r w:rsidR="00DD2449" w:rsidRPr="00DD2449">
              <w:rPr>
                <w:rFonts w:ascii="Calibri" w:eastAsia="Times New Roman" w:hAnsi="Calibri" w:cs="Calibri"/>
                <w:color w:val="000000"/>
              </w:rPr>
              <w:t>A</w:t>
            </w:r>
          </w:p>
        </w:tc>
        <w:tc>
          <w:tcPr>
            <w:tcW w:w="2394" w:type="dxa"/>
            <w:noWrap/>
            <w:hideMark/>
          </w:tcPr>
          <w:p w:rsidR="00DD2449" w:rsidRPr="00DD2449" w:rsidRDefault="00930B04" w:rsidP="00DD2449">
            <w:pPr>
              <w:rPr>
                <w:rFonts w:ascii="Calibri" w:eastAsia="Times New Roman" w:hAnsi="Calibri" w:cs="Calibri"/>
                <w:color w:val="000000"/>
              </w:rPr>
            </w:pPr>
            <w:r>
              <w:rPr>
                <w:rFonts w:ascii="Calibri" w:eastAsia="Times New Roman" w:hAnsi="Calibri" w:cs="Calibri"/>
                <w:color w:val="000000"/>
              </w:rPr>
              <w:t xml:space="preserve">Sample B </w:t>
            </w:r>
          </w:p>
        </w:tc>
        <w:tc>
          <w:tcPr>
            <w:tcW w:w="2394" w:type="dxa"/>
            <w:noWrap/>
            <w:hideMark/>
          </w:tcPr>
          <w:p w:rsidR="00DD2449" w:rsidRPr="00DD2449" w:rsidRDefault="00930B04" w:rsidP="00DD2449">
            <w:pPr>
              <w:rPr>
                <w:rFonts w:ascii="Calibri" w:eastAsia="Times New Roman" w:hAnsi="Calibri" w:cs="Calibri"/>
                <w:color w:val="000000"/>
              </w:rPr>
            </w:pPr>
            <w:r>
              <w:rPr>
                <w:rFonts w:ascii="Calibri" w:eastAsia="Times New Roman" w:hAnsi="Calibri" w:cs="Calibri"/>
                <w:color w:val="000000"/>
              </w:rPr>
              <w:t xml:space="preserve">Sample C </w:t>
            </w:r>
          </w:p>
        </w:tc>
      </w:tr>
      <w:tr w:rsidR="00DD2449" w:rsidRPr="00DD2449" w:rsidTr="00930B04">
        <w:trPr>
          <w:trHeight w:val="300"/>
        </w:trPr>
        <w:tc>
          <w:tcPr>
            <w:tcW w:w="2718" w:type="dxa"/>
            <w:noWrap/>
            <w:hideMark/>
          </w:tcPr>
          <w:p w:rsidR="00DD2449" w:rsidRPr="00DD2449" w:rsidRDefault="00DD2449" w:rsidP="00DD2449">
            <w:pPr>
              <w:jc w:val="right"/>
              <w:rPr>
                <w:rFonts w:ascii="Calibri" w:eastAsia="Times New Roman" w:hAnsi="Calibri" w:cs="Calibri"/>
                <w:color w:val="000000"/>
              </w:rPr>
            </w:pPr>
            <w:r w:rsidRPr="00DD2449">
              <w:rPr>
                <w:rFonts w:ascii="Calibri" w:eastAsia="Times New Roman" w:hAnsi="Calibri" w:cs="Calibri"/>
                <w:color w:val="000000"/>
              </w:rPr>
              <w:t>900</w:t>
            </w:r>
          </w:p>
        </w:tc>
        <w:tc>
          <w:tcPr>
            <w:tcW w:w="2070" w:type="dxa"/>
            <w:noWrap/>
            <w:hideMark/>
          </w:tcPr>
          <w:p w:rsidR="00DD2449" w:rsidRPr="00DD2449" w:rsidRDefault="00930B04" w:rsidP="00DD2449">
            <w:pPr>
              <w:rPr>
                <w:rFonts w:ascii="Calibri" w:eastAsia="Times New Roman" w:hAnsi="Calibri" w:cs="Calibri"/>
                <w:color w:val="000000"/>
              </w:rPr>
            </w:pPr>
            <w:r>
              <w:rPr>
                <w:rFonts w:ascii="Calibri" w:eastAsia="Times New Roman" w:hAnsi="Calibri" w:cs="Calibri"/>
                <w:color w:val="000000"/>
              </w:rPr>
              <w:t>Sample D</w:t>
            </w:r>
          </w:p>
        </w:tc>
        <w:tc>
          <w:tcPr>
            <w:tcW w:w="2394" w:type="dxa"/>
            <w:noWrap/>
            <w:hideMark/>
          </w:tcPr>
          <w:p w:rsidR="00DD2449" w:rsidRPr="00DD2449" w:rsidRDefault="00930B04" w:rsidP="00DD2449">
            <w:pPr>
              <w:rPr>
                <w:rFonts w:ascii="Calibri" w:eastAsia="Times New Roman" w:hAnsi="Calibri" w:cs="Calibri"/>
                <w:color w:val="000000"/>
              </w:rPr>
            </w:pPr>
            <w:r>
              <w:rPr>
                <w:rFonts w:ascii="Calibri" w:eastAsia="Times New Roman" w:hAnsi="Calibri" w:cs="Calibri"/>
                <w:color w:val="000000"/>
              </w:rPr>
              <w:t xml:space="preserve">Sample E </w:t>
            </w:r>
          </w:p>
        </w:tc>
        <w:tc>
          <w:tcPr>
            <w:tcW w:w="2394" w:type="dxa"/>
            <w:noWrap/>
            <w:hideMark/>
          </w:tcPr>
          <w:p w:rsidR="00DD2449" w:rsidRPr="00DD2449" w:rsidRDefault="00930B04" w:rsidP="00DD2449">
            <w:pPr>
              <w:rPr>
                <w:rFonts w:ascii="Calibri" w:eastAsia="Times New Roman" w:hAnsi="Calibri" w:cs="Calibri"/>
                <w:color w:val="000000"/>
              </w:rPr>
            </w:pPr>
            <w:r>
              <w:rPr>
                <w:rFonts w:ascii="Calibri" w:eastAsia="Times New Roman" w:hAnsi="Calibri" w:cs="Calibri"/>
                <w:color w:val="000000"/>
              </w:rPr>
              <w:t xml:space="preserve">Sample F </w:t>
            </w:r>
          </w:p>
        </w:tc>
      </w:tr>
      <w:tr w:rsidR="00DD2449" w:rsidRPr="00DD2449" w:rsidTr="00930B04">
        <w:trPr>
          <w:trHeight w:val="300"/>
        </w:trPr>
        <w:tc>
          <w:tcPr>
            <w:tcW w:w="2718" w:type="dxa"/>
            <w:noWrap/>
            <w:hideMark/>
          </w:tcPr>
          <w:p w:rsidR="00DD2449" w:rsidRPr="00DD2449" w:rsidRDefault="00DD2449" w:rsidP="00DD2449">
            <w:pPr>
              <w:jc w:val="right"/>
              <w:rPr>
                <w:rFonts w:ascii="Calibri" w:eastAsia="Times New Roman" w:hAnsi="Calibri" w:cs="Calibri"/>
                <w:color w:val="000000"/>
              </w:rPr>
            </w:pPr>
            <w:r w:rsidRPr="00DD2449">
              <w:rPr>
                <w:rFonts w:ascii="Calibri" w:eastAsia="Times New Roman" w:hAnsi="Calibri" w:cs="Calibri"/>
                <w:color w:val="000000"/>
              </w:rPr>
              <w:t>1000</w:t>
            </w:r>
          </w:p>
        </w:tc>
        <w:tc>
          <w:tcPr>
            <w:tcW w:w="2070" w:type="dxa"/>
            <w:noWrap/>
            <w:hideMark/>
          </w:tcPr>
          <w:p w:rsidR="00DD2449" w:rsidRPr="00DD2449" w:rsidRDefault="00930B04" w:rsidP="00DD2449">
            <w:pPr>
              <w:rPr>
                <w:rFonts w:ascii="Calibri" w:eastAsia="Times New Roman" w:hAnsi="Calibri" w:cs="Calibri"/>
                <w:color w:val="000000"/>
              </w:rPr>
            </w:pPr>
            <w:r>
              <w:rPr>
                <w:rFonts w:ascii="Calibri" w:eastAsia="Times New Roman" w:hAnsi="Calibri" w:cs="Calibri"/>
                <w:color w:val="000000"/>
              </w:rPr>
              <w:t xml:space="preserve">Sample </w:t>
            </w:r>
            <w:r w:rsidR="00DD2449" w:rsidRPr="00DD2449">
              <w:rPr>
                <w:rFonts w:ascii="Calibri" w:eastAsia="Times New Roman" w:hAnsi="Calibri" w:cs="Calibri"/>
                <w:color w:val="000000"/>
              </w:rPr>
              <w:t>G</w:t>
            </w:r>
          </w:p>
        </w:tc>
        <w:tc>
          <w:tcPr>
            <w:tcW w:w="2394" w:type="dxa"/>
            <w:noWrap/>
            <w:hideMark/>
          </w:tcPr>
          <w:p w:rsidR="00DD2449" w:rsidRPr="00DD2449" w:rsidRDefault="00930B04" w:rsidP="00DD2449">
            <w:pPr>
              <w:rPr>
                <w:rFonts w:ascii="Calibri" w:eastAsia="Times New Roman" w:hAnsi="Calibri" w:cs="Calibri"/>
                <w:color w:val="000000"/>
              </w:rPr>
            </w:pPr>
            <w:r>
              <w:rPr>
                <w:rFonts w:ascii="Calibri" w:eastAsia="Times New Roman" w:hAnsi="Calibri" w:cs="Calibri"/>
                <w:color w:val="000000"/>
              </w:rPr>
              <w:t xml:space="preserve">Sample H </w:t>
            </w:r>
          </w:p>
        </w:tc>
        <w:tc>
          <w:tcPr>
            <w:tcW w:w="2394" w:type="dxa"/>
            <w:noWrap/>
            <w:hideMark/>
          </w:tcPr>
          <w:p w:rsidR="00DD2449" w:rsidRPr="00DD2449" w:rsidRDefault="00930B04" w:rsidP="00DD2449">
            <w:pPr>
              <w:keepNext/>
              <w:rPr>
                <w:rFonts w:ascii="Calibri" w:eastAsia="Times New Roman" w:hAnsi="Calibri" w:cs="Calibri"/>
                <w:color w:val="000000"/>
              </w:rPr>
            </w:pPr>
            <w:r>
              <w:rPr>
                <w:rFonts w:ascii="Calibri" w:eastAsia="Times New Roman" w:hAnsi="Calibri" w:cs="Calibri"/>
                <w:color w:val="000000"/>
              </w:rPr>
              <w:t>Sample I</w:t>
            </w:r>
          </w:p>
        </w:tc>
      </w:tr>
    </w:tbl>
    <w:p w:rsidR="009E7551" w:rsidRDefault="009E7551" w:rsidP="00DD2449"/>
    <w:p w:rsidR="00DD2449" w:rsidRDefault="00DD2449" w:rsidP="00DD2449">
      <w:r>
        <w:tab/>
        <w:t>All heat treated samples were subsequen</w:t>
      </w:r>
      <w:r w:rsidR="008F1663">
        <w:t xml:space="preserve">tly polished, etched, and </w:t>
      </w:r>
      <w:r>
        <w:t xml:space="preserve">hardness tested </w:t>
      </w:r>
      <w:r w:rsidR="008F1663">
        <w:t xml:space="preserve">in the same manner as previously mentioned samples </w:t>
      </w:r>
      <w:r>
        <w:t xml:space="preserve">and compared to the respective properties of the parent and as welded material. </w:t>
      </w:r>
    </w:p>
    <w:p w:rsidR="0023040B" w:rsidRDefault="0023040B">
      <w:pPr>
        <w:rPr>
          <w:b/>
          <w:sz w:val="24"/>
          <w:szCs w:val="24"/>
        </w:rPr>
      </w:pPr>
      <w:r>
        <w:rPr>
          <w:b/>
          <w:sz w:val="24"/>
          <w:szCs w:val="24"/>
        </w:rPr>
        <w:br w:type="page"/>
      </w:r>
      <w:bookmarkStart w:id="0" w:name="_GoBack"/>
      <w:bookmarkEnd w:id="0"/>
    </w:p>
    <w:p w:rsidR="00DD2449" w:rsidRDefault="00855C7F" w:rsidP="00DD2449">
      <w:r>
        <w:rPr>
          <w:b/>
          <w:sz w:val="24"/>
          <w:szCs w:val="24"/>
        </w:rPr>
        <w:lastRenderedPageBreak/>
        <w:t xml:space="preserve">Results </w:t>
      </w:r>
    </w:p>
    <w:p w:rsidR="00855C7F" w:rsidRDefault="005C5672" w:rsidP="00DD2449">
      <w:pPr>
        <w:rPr>
          <w:u w:val="single"/>
        </w:rPr>
      </w:pPr>
      <w:r>
        <w:rPr>
          <w:u w:val="single"/>
        </w:rPr>
        <w:t xml:space="preserve">Parent Material </w:t>
      </w:r>
    </w:p>
    <w:p w:rsidR="00603498" w:rsidRPr="00200622" w:rsidRDefault="005C5672" w:rsidP="00DD2449">
      <w:r>
        <w:tab/>
      </w:r>
      <w:r w:rsidR="00B07851">
        <w:t>Metallography</w:t>
      </w:r>
      <w:r>
        <w:t xml:space="preserve"> of the parent material revealed a lath martensitic microstructure with prior austenite grain size (martensite packet size) of between 6 and 7 ASTM. </w:t>
      </w:r>
      <w:r w:rsidR="00603498">
        <w:t xml:space="preserve">The microstructure of the parent material is visible in </w:t>
      </w:r>
      <w:r w:rsidR="00671B0A">
        <w:rPr>
          <w:i/>
        </w:rPr>
        <w:t>Figure 4</w:t>
      </w:r>
      <w:r w:rsidR="00603498">
        <w:rPr>
          <w:i/>
        </w:rPr>
        <w:t xml:space="preserve"> </w:t>
      </w:r>
      <w:r w:rsidR="00603498">
        <w:t xml:space="preserve">below. </w:t>
      </w:r>
      <w:r w:rsidR="00200622">
        <w:rPr>
          <w:i/>
        </w:rPr>
        <w:t>Figure 5</w:t>
      </w:r>
      <w:r w:rsidR="00200622">
        <w:t xml:space="preserve"> shows grain refinement in the nugget after welding. </w:t>
      </w:r>
    </w:p>
    <w:p w:rsidR="00E90069" w:rsidRDefault="00603498" w:rsidP="00E90069">
      <w:pPr>
        <w:keepNext/>
        <w:spacing w:after="0"/>
      </w:pPr>
      <w:r>
        <w:rPr>
          <w:noProof/>
        </w:rPr>
        <w:drawing>
          <wp:inline distT="0" distB="0" distL="0" distR="0" wp14:anchorId="43DBFEE6" wp14:editId="69CE89E8">
            <wp:extent cx="2476499" cy="18573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 material microstructur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0829" cy="1860623"/>
                    </a:xfrm>
                    <a:prstGeom prst="rect">
                      <a:avLst/>
                    </a:prstGeom>
                  </pic:spPr>
                </pic:pic>
              </a:graphicData>
            </a:graphic>
          </wp:inline>
        </w:drawing>
      </w:r>
      <w:r w:rsidR="00E90069">
        <w:rPr>
          <w:noProof/>
        </w:rPr>
        <w:t xml:space="preserve">                               </w:t>
      </w:r>
      <w:r w:rsidR="00E90069">
        <w:rPr>
          <w:noProof/>
        </w:rPr>
        <w:drawing>
          <wp:inline distT="0" distB="0" distL="0" distR="0" wp14:anchorId="338D66A5" wp14:editId="52A787DB">
            <wp:extent cx="2476500" cy="1857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 nugget microstructure sample 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9763" cy="1859822"/>
                    </a:xfrm>
                    <a:prstGeom prst="rect">
                      <a:avLst/>
                    </a:prstGeom>
                  </pic:spPr>
                </pic:pic>
              </a:graphicData>
            </a:graphic>
          </wp:inline>
        </w:drawing>
      </w:r>
    </w:p>
    <w:p w:rsidR="009E7551" w:rsidRDefault="009E7551" w:rsidP="009E7551">
      <w:pPr>
        <w:pStyle w:val="Caption"/>
      </w:pPr>
      <w:r>
        <w:t xml:space="preserve">Figure </w:t>
      </w:r>
      <w:r w:rsidR="00E90069">
        <w:t>4</w:t>
      </w:r>
      <w:r>
        <w:t xml:space="preserve"> - Lath Martensitic Microstructure of Parent Material</w:t>
      </w:r>
      <w:r w:rsidR="00E90069">
        <w:t xml:space="preserve">                      Figure 5 – Post Weld Microstructure of Nugget </w:t>
      </w:r>
    </w:p>
    <w:p w:rsidR="005C5672" w:rsidRPr="009E7551" w:rsidRDefault="005C5672" w:rsidP="009E7551">
      <w:pPr>
        <w:pStyle w:val="Caption"/>
        <w:shd w:val="clear" w:color="auto" w:fill="FFFFFF" w:themeFill="background1"/>
        <w:rPr>
          <w:b w:val="0"/>
          <w:color w:val="auto"/>
          <w:sz w:val="22"/>
          <w:szCs w:val="22"/>
        </w:rPr>
      </w:pPr>
      <w:r w:rsidRPr="009E7551">
        <w:rPr>
          <w:b w:val="0"/>
          <w:color w:val="auto"/>
          <w:sz w:val="22"/>
          <w:szCs w:val="22"/>
        </w:rPr>
        <w:t>The hardness of the parent material, both micro and Rockwell</w:t>
      </w:r>
      <w:r w:rsidR="00603498" w:rsidRPr="009E7551">
        <w:rPr>
          <w:b w:val="0"/>
          <w:color w:val="auto"/>
          <w:sz w:val="22"/>
          <w:szCs w:val="22"/>
        </w:rPr>
        <w:t xml:space="preserve"> C</w:t>
      </w:r>
      <w:r w:rsidRPr="009E7551">
        <w:rPr>
          <w:b w:val="0"/>
          <w:color w:val="auto"/>
          <w:sz w:val="22"/>
          <w:szCs w:val="22"/>
        </w:rPr>
        <w:t xml:space="preserve">, </w:t>
      </w:r>
      <w:r w:rsidR="00603498" w:rsidRPr="009E7551">
        <w:rPr>
          <w:b w:val="0"/>
          <w:color w:val="auto"/>
          <w:sz w:val="22"/>
          <w:szCs w:val="22"/>
        </w:rPr>
        <w:t>was tested for the purpose of comparing to</w:t>
      </w:r>
      <w:r w:rsidR="00671B0A">
        <w:rPr>
          <w:b w:val="0"/>
          <w:color w:val="auto"/>
          <w:sz w:val="22"/>
          <w:szCs w:val="22"/>
        </w:rPr>
        <w:t xml:space="preserve"> the</w:t>
      </w:r>
      <w:r w:rsidR="00603498" w:rsidRPr="009E7551">
        <w:rPr>
          <w:b w:val="0"/>
          <w:color w:val="auto"/>
          <w:sz w:val="22"/>
          <w:szCs w:val="22"/>
        </w:rPr>
        <w:t xml:space="preserve"> welded </w:t>
      </w:r>
      <w:r w:rsidR="00671B0A">
        <w:rPr>
          <w:b w:val="0"/>
          <w:color w:val="auto"/>
          <w:sz w:val="22"/>
          <w:szCs w:val="22"/>
        </w:rPr>
        <w:t xml:space="preserve">and heat treated </w:t>
      </w:r>
      <w:r w:rsidR="00603498" w:rsidRPr="009E7551">
        <w:rPr>
          <w:b w:val="0"/>
          <w:color w:val="auto"/>
          <w:sz w:val="22"/>
          <w:szCs w:val="22"/>
        </w:rPr>
        <w:t>material. The results are</w:t>
      </w:r>
      <w:r w:rsidRPr="009E7551">
        <w:rPr>
          <w:b w:val="0"/>
          <w:color w:val="auto"/>
          <w:sz w:val="22"/>
          <w:szCs w:val="22"/>
        </w:rPr>
        <w:t xml:space="preserve"> outlined in </w:t>
      </w:r>
      <w:r w:rsidRPr="009E7551">
        <w:rPr>
          <w:b w:val="0"/>
          <w:i/>
          <w:color w:val="auto"/>
          <w:sz w:val="22"/>
          <w:szCs w:val="22"/>
        </w:rPr>
        <w:t>Table 1</w:t>
      </w:r>
      <w:r w:rsidRPr="009E7551">
        <w:rPr>
          <w:b w:val="0"/>
          <w:color w:val="auto"/>
          <w:sz w:val="22"/>
          <w:szCs w:val="22"/>
        </w:rPr>
        <w:t xml:space="preserve"> below. </w:t>
      </w:r>
    </w:p>
    <w:p w:rsidR="005C5672" w:rsidRDefault="005C5672" w:rsidP="00603498">
      <w:pPr>
        <w:pStyle w:val="Caption"/>
        <w:keepNext/>
        <w:spacing w:after="0"/>
      </w:pPr>
      <w:r>
        <w:t xml:space="preserve">Table </w:t>
      </w:r>
      <w:r w:rsidR="00A0778E">
        <w:t>3</w:t>
      </w:r>
      <w:r>
        <w:t xml:space="preserve"> - Parent material hardness</w:t>
      </w:r>
    </w:p>
    <w:tbl>
      <w:tblPr>
        <w:tblStyle w:val="TableGrid"/>
        <w:tblW w:w="5000" w:type="pct"/>
        <w:tblLook w:val="04A0" w:firstRow="1" w:lastRow="0" w:firstColumn="1" w:lastColumn="0" w:noHBand="0" w:noVBand="1"/>
      </w:tblPr>
      <w:tblGrid>
        <w:gridCol w:w="2277"/>
        <w:gridCol w:w="3652"/>
        <w:gridCol w:w="3647"/>
      </w:tblGrid>
      <w:tr w:rsidR="005C5672" w:rsidTr="00306CB1">
        <w:trPr>
          <w:trHeight w:val="274"/>
        </w:trPr>
        <w:tc>
          <w:tcPr>
            <w:tcW w:w="1189" w:type="pct"/>
          </w:tcPr>
          <w:p w:rsidR="005C5672" w:rsidRPr="00A55637" w:rsidRDefault="005C5672" w:rsidP="00E90069">
            <w:pPr>
              <w:pStyle w:val="ListParagraph"/>
              <w:ind w:left="0"/>
              <w:jc w:val="center"/>
              <w:rPr>
                <w:b/>
              </w:rPr>
            </w:pPr>
            <w:r>
              <w:rPr>
                <w:b/>
              </w:rPr>
              <w:t xml:space="preserve">Trial </w:t>
            </w:r>
          </w:p>
        </w:tc>
        <w:tc>
          <w:tcPr>
            <w:tcW w:w="1907" w:type="pct"/>
          </w:tcPr>
          <w:p w:rsidR="005C5672" w:rsidRPr="00A55637" w:rsidRDefault="005C5672" w:rsidP="00E90069">
            <w:pPr>
              <w:pStyle w:val="ListParagraph"/>
              <w:ind w:left="0"/>
              <w:jc w:val="center"/>
              <w:rPr>
                <w:b/>
              </w:rPr>
            </w:pPr>
            <w:r>
              <w:rPr>
                <w:b/>
              </w:rPr>
              <w:t xml:space="preserve">Vickers Hardness (HV) </w:t>
            </w:r>
          </w:p>
        </w:tc>
        <w:tc>
          <w:tcPr>
            <w:tcW w:w="1904" w:type="pct"/>
          </w:tcPr>
          <w:p w:rsidR="005C5672" w:rsidRDefault="005C5672" w:rsidP="00E90069">
            <w:pPr>
              <w:pStyle w:val="ListParagraph"/>
              <w:ind w:left="0"/>
              <w:jc w:val="center"/>
              <w:rPr>
                <w:b/>
              </w:rPr>
            </w:pPr>
            <w:r>
              <w:rPr>
                <w:b/>
              </w:rPr>
              <w:t>Rockwell Hardness (HRC)</w:t>
            </w:r>
          </w:p>
        </w:tc>
      </w:tr>
      <w:tr w:rsidR="005C5672" w:rsidTr="00306CB1">
        <w:trPr>
          <w:trHeight w:val="274"/>
        </w:trPr>
        <w:tc>
          <w:tcPr>
            <w:tcW w:w="1189" w:type="pct"/>
          </w:tcPr>
          <w:p w:rsidR="005C5672" w:rsidRDefault="005C5672" w:rsidP="00E90069">
            <w:pPr>
              <w:pStyle w:val="ListParagraph"/>
              <w:ind w:left="0"/>
            </w:pPr>
            <w:r>
              <w:t>1</w:t>
            </w:r>
          </w:p>
        </w:tc>
        <w:tc>
          <w:tcPr>
            <w:tcW w:w="1907" w:type="pct"/>
          </w:tcPr>
          <w:p w:rsidR="005C5672" w:rsidRDefault="005C5672" w:rsidP="00E90069">
            <w:pPr>
              <w:pStyle w:val="ListParagraph"/>
              <w:ind w:left="0"/>
            </w:pPr>
            <w:r>
              <w:t>317.3</w:t>
            </w:r>
          </w:p>
        </w:tc>
        <w:tc>
          <w:tcPr>
            <w:tcW w:w="1904" w:type="pct"/>
          </w:tcPr>
          <w:p w:rsidR="005C5672" w:rsidRDefault="005C5672" w:rsidP="00E90069">
            <w:pPr>
              <w:pStyle w:val="ListParagraph"/>
              <w:ind w:left="0"/>
            </w:pPr>
            <w:r>
              <w:t>29</w:t>
            </w:r>
          </w:p>
        </w:tc>
      </w:tr>
      <w:tr w:rsidR="005C5672" w:rsidTr="00306CB1">
        <w:trPr>
          <w:trHeight w:val="274"/>
        </w:trPr>
        <w:tc>
          <w:tcPr>
            <w:tcW w:w="1189" w:type="pct"/>
          </w:tcPr>
          <w:p w:rsidR="005C5672" w:rsidRDefault="005C5672" w:rsidP="00E90069">
            <w:pPr>
              <w:pStyle w:val="ListParagraph"/>
              <w:ind w:left="0"/>
            </w:pPr>
            <w:r>
              <w:t>2</w:t>
            </w:r>
          </w:p>
        </w:tc>
        <w:tc>
          <w:tcPr>
            <w:tcW w:w="1907" w:type="pct"/>
          </w:tcPr>
          <w:p w:rsidR="005C5672" w:rsidRDefault="005C5672" w:rsidP="00E90069">
            <w:pPr>
              <w:pStyle w:val="ListParagraph"/>
              <w:ind w:left="0"/>
            </w:pPr>
            <w:r>
              <w:t>302.1</w:t>
            </w:r>
          </w:p>
        </w:tc>
        <w:tc>
          <w:tcPr>
            <w:tcW w:w="1904" w:type="pct"/>
          </w:tcPr>
          <w:p w:rsidR="005C5672" w:rsidRDefault="005C5672" w:rsidP="00E90069">
            <w:pPr>
              <w:pStyle w:val="ListParagraph"/>
              <w:ind w:left="0"/>
            </w:pPr>
            <w:r>
              <w:t>29</w:t>
            </w:r>
          </w:p>
        </w:tc>
      </w:tr>
      <w:tr w:rsidR="005C5672" w:rsidTr="00306CB1">
        <w:trPr>
          <w:trHeight w:val="259"/>
        </w:trPr>
        <w:tc>
          <w:tcPr>
            <w:tcW w:w="1189" w:type="pct"/>
          </w:tcPr>
          <w:p w:rsidR="005C5672" w:rsidRDefault="005C5672" w:rsidP="00E90069">
            <w:pPr>
              <w:pStyle w:val="ListParagraph"/>
              <w:ind w:left="0"/>
            </w:pPr>
            <w:r>
              <w:t>3</w:t>
            </w:r>
          </w:p>
        </w:tc>
        <w:tc>
          <w:tcPr>
            <w:tcW w:w="1907" w:type="pct"/>
          </w:tcPr>
          <w:p w:rsidR="005C5672" w:rsidRDefault="005C5672" w:rsidP="00E90069">
            <w:pPr>
              <w:pStyle w:val="ListParagraph"/>
              <w:ind w:left="0"/>
            </w:pPr>
            <w:r>
              <w:t>306.5</w:t>
            </w:r>
          </w:p>
        </w:tc>
        <w:tc>
          <w:tcPr>
            <w:tcW w:w="1904" w:type="pct"/>
          </w:tcPr>
          <w:p w:rsidR="005C5672" w:rsidRDefault="005C5672" w:rsidP="00E90069">
            <w:pPr>
              <w:pStyle w:val="ListParagraph"/>
              <w:ind w:left="0"/>
            </w:pPr>
            <w:r>
              <w:t>29</w:t>
            </w:r>
          </w:p>
        </w:tc>
      </w:tr>
      <w:tr w:rsidR="005C5672" w:rsidTr="00306CB1">
        <w:trPr>
          <w:trHeight w:val="274"/>
        </w:trPr>
        <w:tc>
          <w:tcPr>
            <w:tcW w:w="1189" w:type="pct"/>
          </w:tcPr>
          <w:p w:rsidR="005C5672" w:rsidRDefault="005C5672" w:rsidP="00E90069">
            <w:pPr>
              <w:pStyle w:val="ListParagraph"/>
              <w:ind w:left="0"/>
            </w:pPr>
            <w:r>
              <w:t>4</w:t>
            </w:r>
          </w:p>
        </w:tc>
        <w:tc>
          <w:tcPr>
            <w:tcW w:w="1907" w:type="pct"/>
          </w:tcPr>
          <w:p w:rsidR="005C5672" w:rsidRDefault="005C5672" w:rsidP="00E90069">
            <w:pPr>
              <w:pStyle w:val="ListParagraph"/>
              <w:ind w:left="0"/>
            </w:pPr>
            <w:r>
              <w:t>314.4</w:t>
            </w:r>
          </w:p>
        </w:tc>
        <w:tc>
          <w:tcPr>
            <w:tcW w:w="1904" w:type="pct"/>
          </w:tcPr>
          <w:p w:rsidR="005C5672" w:rsidRDefault="00DC195C" w:rsidP="00E90069">
            <w:pPr>
              <w:pStyle w:val="ListParagraph"/>
              <w:ind w:left="0"/>
            </w:pPr>
            <w:r>
              <w:t>--</w:t>
            </w:r>
          </w:p>
        </w:tc>
      </w:tr>
      <w:tr w:rsidR="005C5672" w:rsidTr="00306CB1">
        <w:trPr>
          <w:trHeight w:val="259"/>
        </w:trPr>
        <w:tc>
          <w:tcPr>
            <w:tcW w:w="1189" w:type="pct"/>
          </w:tcPr>
          <w:p w:rsidR="005C5672" w:rsidRDefault="005C5672" w:rsidP="00E90069">
            <w:pPr>
              <w:pStyle w:val="ListParagraph"/>
              <w:ind w:left="0"/>
            </w:pPr>
            <w:r>
              <w:t>5</w:t>
            </w:r>
          </w:p>
        </w:tc>
        <w:tc>
          <w:tcPr>
            <w:tcW w:w="1907" w:type="pct"/>
          </w:tcPr>
          <w:p w:rsidR="005C5672" w:rsidRDefault="005C5672" w:rsidP="00E90069">
            <w:pPr>
              <w:pStyle w:val="ListParagraph"/>
              <w:ind w:left="0"/>
            </w:pPr>
            <w:r>
              <w:t>309.3</w:t>
            </w:r>
          </w:p>
        </w:tc>
        <w:tc>
          <w:tcPr>
            <w:tcW w:w="1904" w:type="pct"/>
          </w:tcPr>
          <w:p w:rsidR="005C5672" w:rsidRDefault="00DC195C" w:rsidP="00E90069">
            <w:pPr>
              <w:pStyle w:val="ListParagraph"/>
              <w:ind w:left="0"/>
            </w:pPr>
            <w:r>
              <w:t>--</w:t>
            </w:r>
          </w:p>
        </w:tc>
      </w:tr>
      <w:tr w:rsidR="005C5672" w:rsidTr="00306CB1">
        <w:trPr>
          <w:trHeight w:val="289"/>
        </w:trPr>
        <w:tc>
          <w:tcPr>
            <w:tcW w:w="1189" w:type="pct"/>
          </w:tcPr>
          <w:p w:rsidR="005C5672" w:rsidRDefault="005C5672" w:rsidP="00E90069">
            <w:pPr>
              <w:pStyle w:val="ListParagraph"/>
              <w:ind w:left="0"/>
            </w:pPr>
            <w:r>
              <w:t xml:space="preserve">Average </w:t>
            </w:r>
          </w:p>
        </w:tc>
        <w:tc>
          <w:tcPr>
            <w:tcW w:w="1907" w:type="pct"/>
          </w:tcPr>
          <w:p w:rsidR="005C5672" w:rsidRDefault="005C5672" w:rsidP="00E90069">
            <w:pPr>
              <w:pStyle w:val="ListParagraph"/>
              <w:ind w:left="0"/>
            </w:pPr>
            <w:r>
              <w:t>309.92</w:t>
            </w:r>
          </w:p>
        </w:tc>
        <w:tc>
          <w:tcPr>
            <w:tcW w:w="1904" w:type="pct"/>
          </w:tcPr>
          <w:p w:rsidR="005C5672" w:rsidRDefault="005C5672" w:rsidP="005C5672">
            <w:pPr>
              <w:pStyle w:val="ListParagraph"/>
              <w:keepNext/>
              <w:ind w:left="0"/>
            </w:pPr>
            <w:r>
              <w:t>29</w:t>
            </w:r>
          </w:p>
        </w:tc>
      </w:tr>
    </w:tbl>
    <w:p w:rsidR="005C5672" w:rsidRDefault="005C5672" w:rsidP="005C5672"/>
    <w:p w:rsidR="005C5672" w:rsidRDefault="005C5672" w:rsidP="005C5672">
      <w:pPr>
        <w:rPr>
          <w:u w:val="single"/>
        </w:rPr>
      </w:pPr>
      <w:r>
        <w:rPr>
          <w:u w:val="single"/>
        </w:rPr>
        <w:t xml:space="preserve">Parameter Optimization </w:t>
      </w:r>
    </w:p>
    <w:p w:rsidR="005C5672" w:rsidRDefault="00A71FFA" w:rsidP="009E7551">
      <w:pPr>
        <w:shd w:val="clear" w:color="auto" w:fill="FFFFFF" w:themeFill="background1"/>
      </w:pPr>
      <w:r>
        <w:tab/>
        <w:t>A map of welding parameters is shown below. Th</w:t>
      </w:r>
      <w:r w:rsidR="00D931E2">
        <w:t xml:space="preserve">e vertical axis of the map combines rotational speed and traveling speed </w:t>
      </w:r>
      <w:r>
        <w:t xml:space="preserve">into one </w:t>
      </w:r>
      <w:r w:rsidR="00D931E2">
        <w:t xml:space="preserve">parameter </w:t>
      </w:r>
      <w:r>
        <w:t>called “advance per revolution” (APR)</w:t>
      </w:r>
      <w:r w:rsidR="00D931E2">
        <w:t xml:space="preserve"> referring to the longitudinal distance traveled by the tool across the metal with every revolution it makes</w:t>
      </w:r>
      <w:r>
        <w:t xml:space="preserve">. The horizontal axis indicates variations in force (the amount of pressure the tool pushes down on the metal with). </w:t>
      </w:r>
      <w:r w:rsidR="00D931E2">
        <w:t xml:space="preserve">Pictures of cross-sectional samples of the </w:t>
      </w:r>
      <w:r w:rsidR="00EA2E2C">
        <w:t>weld</w:t>
      </w:r>
      <w:r w:rsidR="00D931E2">
        <w:t>s are included on the map</w:t>
      </w:r>
      <w:r w:rsidR="00EA2E2C">
        <w:t xml:space="preserve"> to indicate which </w:t>
      </w:r>
      <w:r w:rsidR="00D931E2">
        <w:t xml:space="preserve">parameters </w:t>
      </w:r>
      <w:r w:rsidR="00EA2E2C">
        <w:t xml:space="preserve">produce voids and </w:t>
      </w:r>
      <w:r w:rsidR="00D931E2">
        <w:t xml:space="preserve">other </w:t>
      </w:r>
      <w:r w:rsidR="00306CB1">
        <w:t>defects and which yield the best</w:t>
      </w:r>
      <w:r w:rsidR="00EA2E2C">
        <w:t xml:space="preserve"> quality welds</w:t>
      </w:r>
      <w:r w:rsidR="00D931E2">
        <w:t>. The parameters of each</w:t>
      </w:r>
      <w:r w:rsidR="00EA2E2C">
        <w:t xml:space="preserve"> </w:t>
      </w:r>
      <w:r w:rsidR="00D931E2">
        <w:t xml:space="preserve">photograph </w:t>
      </w:r>
      <w:r w:rsidR="00EA2E2C">
        <w:t>are l</w:t>
      </w:r>
      <w:r w:rsidR="009E7793">
        <w:t xml:space="preserve">isted </w:t>
      </w:r>
      <w:r w:rsidR="00D931E2">
        <w:t xml:space="preserve">in the dark area just </w:t>
      </w:r>
      <w:r w:rsidR="009E7793">
        <w:t>below</w:t>
      </w:r>
      <w:r w:rsidR="00D931E2">
        <w:t xml:space="preserve"> each metal sample. </w:t>
      </w:r>
      <w:r w:rsidR="009E7793">
        <w:t xml:space="preserve"> As can be inferred from the map, the parameters yielding the best </w:t>
      </w:r>
      <w:r w:rsidR="008F75B3">
        <w:t xml:space="preserve">weld is located toward the right side in the </w:t>
      </w:r>
      <w:r w:rsidR="00D931E2">
        <w:t>cen</w:t>
      </w:r>
      <w:r w:rsidR="008F75B3">
        <w:t>ter and is a result of parameters 6</w:t>
      </w:r>
      <w:r w:rsidR="00306CB1">
        <w:t>,</w:t>
      </w:r>
      <w:r w:rsidR="008F75B3">
        <w:t xml:space="preserve">500 </w:t>
      </w:r>
      <w:r w:rsidR="00B07851">
        <w:t>lbs.</w:t>
      </w:r>
      <w:r w:rsidR="008F75B3">
        <w:t xml:space="preserve"> and an APR of 0.01 in/rev</w:t>
      </w:r>
      <w:r w:rsidR="009E7793">
        <w:t xml:space="preserve">. </w:t>
      </w:r>
    </w:p>
    <w:p w:rsidR="008F75B3" w:rsidRDefault="008F75B3" w:rsidP="008F75B3">
      <w:pPr>
        <w:keepNext/>
        <w:spacing w:after="0"/>
      </w:pPr>
      <w:r>
        <w:rPr>
          <w:noProof/>
        </w:rPr>
        <w:lastRenderedPageBreak/>
        <w:drawing>
          <wp:inline distT="0" distB="0" distL="0" distR="0" wp14:anchorId="31FB77D0" wp14:editId="17303BAF">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er map.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E7793" w:rsidRDefault="008F75B3" w:rsidP="008F75B3">
      <w:pPr>
        <w:pStyle w:val="Caption"/>
      </w:pPr>
      <w:r>
        <w:t xml:space="preserve">Figure </w:t>
      </w:r>
      <w:fldSimple w:instr=" SEQ Figure \* ARABIC ">
        <w:r w:rsidR="00E90069">
          <w:rPr>
            <w:noProof/>
          </w:rPr>
          <w:t>6</w:t>
        </w:r>
      </w:fldSimple>
      <w:r>
        <w:t xml:space="preserve"> - FSW Parameter Mapping of Maraging Steel</w:t>
      </w:r>
    </w:p>
    <w:p w:rsidR="008F75B3" w:rsidRDefault="008F75B3" w:rsidP="005C5672"/>
    <w:p w:rsidR="009E7793" w:rsidRDefault="009E7793" w:rsidP="005C5672">
      <w:pPr>
        <w:rPr>
          <w:u w:val="single"/>
        </w:rPr>
      </w:pPr>
      <w:r>
        <w:rPr>
          <w:u w:val="single"/>
        </w:rPr>
        <w:t xml:space="preserve">Post Weld Heat Treatments </w:t>
      </w:r>
    </w:p>
    <w:p w:rsidR="009E7793" w:rsidRDefault="008F75B3" w:rsidP="005C5672">
      <w:r>
        <w:tab/>
      </w:r>
      <w:r w:rsidR="00904FDB">
        <w:t xml:space="preserve">As described in the procedure, nine samples were heat treated – three different times for each of three different temperatures. The micro-hardness results of each can be found in the </w:t>
      </w:r>
      <w:r w:rsidR="003E7287">
        <w:t>appendix at the end of this r</w:t>
      </w:r>
      <w:r w:rsidR="001C3D1E">
        <w:t xml:space="preserve">eport. Since the micro-hardness across the weld and HAZ appear relatively even, an average hardness was calculated for each sample and used to generate the time-temperature diagram below. This diagram represents the effect of post-weld heat treatments on the weld and HAZ. </w:t>
      </w:r>
    </w:p>
    <w:p w:rsidR="001C3D1E" w:rsidRDefault="001C3D1E" w:rsidP="001C3D1E">
      <w:pPr>
        <w:keepNext/>
        <w:spacing w:after="0"/>
      </w:pPr>
      <w:r>
        <w:rPr>
          <w:noProof/>
        </w:rPr>
        <w:lastRenderedPageBreak/>
        <w:drawing>
          <wp:inline distT="0" distB="0" distL="0" distR="0" wp14:anchorId="306E693D" wp14:editId="16C819A3">
            <wp:extent cx="5324475" cy="3471863"/>
            <wp:effectExtent l="0" t="0" r="952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3D1E" w:rsidRDefault="001C3D1E" w:rsidP="001C3D1E">
      <w:pPr>
        <w:pStyle w:val="Caption"/>
      </w:pPr>
      <w:r>
        <w:t xml:space="preserve">Figure </w:t>
      </w:r>
      <w:fldSimple w:instr=" SEQ Figure \* ARABIC ">
        <w:r w:rsidR="00E90069">
          <w:rPr>
            <w:noProof/>
          </w:rPr>
          <w:t>7</w:t>
        </w:r>
      </w:fldSimple>
      <w:r>
        <w:t xml:space="preserve"> - Time-Temperature Post-Weld Heat Treatment Diagram</w:t>
      </w:r>
    </w:p>
    <w:p w:rsidR="00DB503B" w:rsidRDefault="00DB503B" w:rsidP="001C3D1E">
      <w:pPr>
        <w:rPr>
          <w:b/>
        </w:rPr>
      </w:pPr>
      <w:r>
        <w:rPr>
          <w:b/>
        </w:rPr>
        <w:t xml:space="preserve">Discussion </w:t>
      </w:r>
    </w:p>
    <w:p w:rsidR="002174C9" w:rsidRDefault="00DB503B" w:rsidP="001C3D1E">
      <w:r>
        <w:tab/>
      </w:r>
      <w:r w:rsidR="006703C4">
        <w:t>In the solution annealed condition, maraging steel is relatively soft and malleable and therefore generally machinable and weldable (Madhusudhan and Ramana). It is then surprising to find the metal to be highly sensitive to the welding parameters, often leaving wormholes when</w:t>
      </w:r>
      <w:r w:rsidR="002F5691">
        <w:t xml:space="preserve"> the parameters were not precisely</w:t>
      </w:r>
      <w:r w:rsidR="006703C4">
        <w:t xml:space="preserve"> in tune. When observing the parameter map</w:t>
      </w:r>
      <w:r w:rsidR="002F5691">
        <w:t>, it is observed</w:t>
      </w:r>
      <w:r w:rsidR="00FE653E">
        <w:t xml:space="preserve"> that the weld of highest quality is to the right side in the center; however, the entire center line (top to bottom center) consists of three welds made with the same rotational and longitudinal speed (</w:t>
      </w:r>
      <w:r w:rsidR="002174C9">
        <w:t xml:space="preserve">each with </w:t>
      </w:r>
      <w:r w:rsidR="00FE653E">
        <w:t xml:space="preserve">different amounts of </w:t>
      </w:r>
      <w:r w:rsidR="002174C9">
        <w:t xml:space="preserve">tool </w:t>
      </w:r>
      <w:r w:rsidR="00FE653E">
        <w:t xml:space="preserve">force), all of which provide the highest quality welds on the entire map. In fact, the only visible defect </w:t>
      </w:r>
      <w:r w:rsidR="002174C9">
        <w:t>among the three is found in</w:t>
      </w:r>
      <w:r w:rsidR="00FE653E">
        <w:t xml:space="preserve"> the weld made wit</w:t>
      </w:r>
      <w:r w:rsidR="002174C9">
        <w:t>h a</w:t>
      </w:r>
      <w:r w:rsidR="00FE653E">
        <w:t xml:space="preserve"> 5,000 </w:t>
      </w:r>
      <w:r w:rsidR="00B07851">
        <w:t>lb.</w:t>
      </w:r>
      <w:r w:rsidR="00FE653E">
        <w:t xml:space="preserve"> applied </w:t>
      </w:r>
      <w:r w:rsidR="002174C9">
        <w:t xml:space="preserve">tool </w:t>
      </w:r>
      <w:r w:rsidR="00FE653E">
        <w:t xml:space="preserve">force. </w:t>
      </w:r>
      <w:r w:rsidR="002174C9">
        <w:t xml:space="preserve">Interestingly enough, this is the middle parameter of the three applied forces, the other two being 6,500 </w:t>
      </w:r>
      <w:r w:rsidR="00B07851">
        <w:t>lbs.</w:t>
      </w:r>
      <w:r w:rsidR="002174C9">
        <w:t xml:space="preserve"> and 4,500 lbs. The weld made with the 4,500 </w:t>
      </w:r>
      <w:r w:rsidR="00B07851">
        <w:t>lb.</w:t>
      </w:r>
      <w:r w:rsidR="002174C9">
        <w:t xml:space="preserve"> applied tool force was made with a shorter tool pin (</w:t>
      </w:r>
      <w:r w:rsidR="00D23DD5">
        <w:t>150/1000 in), while the other two were made with a tool pin of length 230/1000 in. It seems likely, then,</w:t>
      </w:r>
      <w:r w:rsidR="006A03A6">
        <w:t xml:space="preserve"> that the optimal parameters for friction stir welding this particular metal is a function of APR, tool force, and pin length (directly related to </w:t>
      </w:r>
      <w:r w:rsidR="003D38F7">
        <w:t xml:space="preserve">the </w:t>
      </w:r>
      <w:r w:rsidR="006A03A6">
        <w:t xml:space="preserve">desired thickness </w:t>
      </w:r>
      <w:r w:rsidR="003D38F7">
        <w:t>of the</w:t>
      </w:r>
      <w:r w:rsidR="006A03A6">
        <w:t xml:space="preserve"> weld). </w:t>
      </w:r>
      <w:r w:rsidR="00030BEA">
        <w:t xml:space="preserve">It was noted that the best welds generally involved the most heat input (visually, the tool glowed the brightest), which is a result of all three parameters, but mostly a slow longitudinal traveling speed. </w:t>
      </w:r>
    </w:p>
    <w:p w:rsidR="00030BEA" w:rsidRPr="002A3A78" w:rsidRDefault="00030BEA" w:rsidP="001C3D1E">
      <w:r>
        <w:tab/>
        <w:t xml:space="preserve">After welding, the </w:t>
      </w:r>
      <w:r w:rsidR="009559D6">
        <w:t>outer</w:t>
      </w:r>
      <w:r w:rsidR="002A3A78">
        <w:t xml:space="preserve"> heat affected zone suddenly becomes</w:t>
      </w:r>
      <w:r w:rsidR="00E90069">
        <w:t xml:space="preserve"> harder than the </w:t>
      </w:r>
      <w:r w:rsidR="002A3A78">
        <w:t>weld nugget</w:t>
      </w:r>
      <w:r w:rsidR="00E90069">
        <w:t xml:space="preserve"> and inner HAZ</w:t>
      </w:r>
      <w:r w:rsidR="002A3A78">
        <w:t xml:space="preserve">, </w:t>
      </w:r>
      <w:r w:rsidR="00B07851">
        <w:t>and then</w:t>
      </w:r>
      <w:r w:rsidR="002A3A78">
        <w:t xml:space="preserve"> gradually drops off in hardness as distance from the weld is increased as indicated in </w:t>
      </w:r>
      <w:r w:rsidR="00200622">
        <w:rPr>
          <w:i/>
        </w:rPr>
        <w:t>Figure 8</w:t>
      </w:r>
      <w:r w:rsidR="002A3A78">
        <w:t xml:space="preserve"> below (the </w:t>
      </w:r>
      <w:r w:rsidR="00E90069">
        <w:t xml:space="preserve">borders between the inner and outer HAZ are </w:t>
      </w:r>
      <w:r w:rsidR="002A3A78">
        <w:t xml:space="preserve">located at 0.1” and 0.8”). </w:t>
      </w:r>
    </w:p>
    <w:p w:rsidR="002A3A78" w:rsidRDefault="002A3A78" w:rsidP="002A3A78">
      <w:pPr>
        <w:keepNext/>
        <w:spacing w:after="0"/>
      </w:pPr>
      <w:r>
        <w:rPr>
          <w:noProof/>
        </w:rPr>
        <w:lastRenderedPageBreak/>
        <w:drawing>
          <wp:inline distT="0" distB="0" distL="0" distR="0" wp14:anchorId="158C38D7" wp14:editId="3F6D538B">
            <wp:extent cx="5905500" cy="26955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3A78" w:rsidRDefault="002A3A78" w:rsidP="002A3A78">
      <w:pPr>
        <w:pStyle w:val="Caption"/>
      </w:pPr>
      <w:r>
        <w:t xml:space="preserve">Figure </w:t>
      </w:r>
      <w:fldSimple w:instr=" SEQ Figure \* ARABIC ">
        <w:r w:rsidR="00E90069">
          <w:rPr>
            <w:noProof/>
          </w:rPr>
          <w:t>8</w:t>
        </w:r>
      </w:fldSimple>
      <w:r>
        <w:t xml:space="preserve"> - </w:t>
      </w:r>
      <w:r w:rsidR="00B07851">
        <w:t>Vickers</w:t>
      </w:r>
      <w:r>
        <w:t xml:space="preserve"> Hardness </w:t>
      </w:r>
      <w:r w:rsidR="00B07851">
        <w:t>across</w:t>
      </w:r>
      <w:r>
        <w:t xml:space="preserve"> Weld in As-Welded Condition</w:t>
      </w:r>
    </w:p>
    <w:p w:rsidR="002A3A78" w:rsidRDefault="00FA1BF9" w:rsidP="00E56024">
      <w:pPr>
        <w:spacing w:after="0"/>
      </w:pPr>
      <w:r>
        <w:tab/>
        <w:t xml:space="preserve">The horizontal line in </w:t>
      </w:r>
      <w:r w:rsidR="00200622">
        <w:rPr>
          <w:i/>
        </w:rPr>
        <w:t>Figure 8</w:t>
      </w:r>
      <w:r>
        <w:t xml:space="preserve"> above represents the average micro-hardness of the parent material (measured before welding). When observing this graph it is interesting to note the average hardness of the weld nugget (0.275” – 0.6”) and the</w:t>
      </w:r>
      <w:r w:rsidR="00E90069">
        <w:t xml:space="preserve"> inner</w:t>
      </w:r>
      <w:r>
        <w:t xml:space="preserve"> HAZ (0.1” – 0.275” &amp; 0.6” – 0.8”</w:t>
      </w:r>
      <w:r w:rsidR="00EE4BC5">
        <w:t xml:space="preserve">) combined is likely very near to this </w:t>
      </w:r>
      <w:r w:rsidR="00E90069">
        <w:t>line, while the outer</w:t>
      </w:r>
      <w:r w:rsidR="00EE4BC5">
        <w:t xml:space="preserve"> HAZ (either extreme side of the graph) is much harder than the parent material. </w:t>
      </w:r>
      <w:r w:rsidR="00F4557D">
        <w:t xml:space="preserve">It can also be noted that the </w:t>
      </w:r>
      <w:r w:rsidR="00E90069">
        <w:t xml:space="preserve">inner HAZ </w:t>
      </w:r>
      <w:r w:rsidR="00F4557D">
        <w:t xml:space="preserve">tends to be a little softer than the nugget, while the nugget tends to be a little harder than the parent material. </w:t>
      </w:r>
      <w:r w:rsidR="00B37E17">
        <w:t>Speculati</w:t>
      </w:r>
      <w:r w:rsidR="00E90069">
        <w:t>ng on these results</w:t>
      </w:r>
      <w:r w:rsidR="00B37E17">
        <w:t xml:space="preserve"> </w:t>
      </w:r>
      <w:r w:rsidR="00E90069">
        <w:t xml:space="preserve">implicates </w:t>
      </w:r>
      <w:r w:rsidR="00B37E17">
        <w:t xml:space="preserve">the possibility of the following occurring during welding: </w:t>
      </w:r>
    </w:p>
    <w:p w:rsidR="00B37E17" w:rsidRDefault="00B37E17" w:rsidP="00B37E17">
      <w:pPr>
        <w:pStyle w:val="ListParagraph"/>
        <w:numPr>
          <w:ilvl w:val="0"/>
          <w:numId w:val="4"/>
        </w:numPr>
      </w:pPr>
      <w:r>
        <w:t>The grain size is refined in the nugget during the welding process</w:t>
      </w:r>
      <w:r w:rsidR="00200622">
        <w:t xml:space="preserve"> making for a harder material</w:t>
      </w:r>
      <w:r>
        <w:t xml:space="preserve">. The post weld microstructure of the nugget can be seen in </w:t>
      </w:r>
      <w:r w:rsidR="00200622">
        <w:rPr>
          <w:i/>
        </w:rPr>
        <w:t>Figure 5</w:t>
      </w:r>
      <w:r>
        <w:t xml:space="preserve">, while the pre-weld microstructure of the parent material can be seen in </w:t>
      </w:r>
      <w:r w:rsidR="00200622">
        <w:rPr>
          <w:i/>
        </w:rPr>
        <w:t>Figure 4</w:t>
      </w:r>
      <w:r w:rsidR="00200622">
        <w:t>, both on page 7</w:t>
      </w:r>
      <w:r>
        <w:t xml:space="preserve">. </w:t>
      </w:r>
    </w:p>
    <w:p w:rsidR="00B37E17" w:rsidRDefault="00B37E17" w:rsidP="00B37E17">
      <w:pPr>
        <w:pStyle w:val="ListParagraph"/>
        <w:numPr>
          <w:ilvl w:val="0"/>
          <w:numId w:val="4"/>
        </w:numPr>
      </w:pPr>
      <w:r>
        <w:t xml:space="preserve">Due to the intense heat of the welding process, some annealing </w:t>
      </w:r>
      <w:r w:rsidR="00313493">
        <w:t xml:space="preserve">(austenitic reversion) </w:t>
      </w:r>
      <w:r>
        <w:t xml:space="preserve">may be occurring in the </w:t>
      </w:r>
      <w:r w:rsidR="003C23B5">
        <w:t xml:space="preserve">innermost region of the </w:t>
      </w:r>
      <w:r>
        <w:t xml:space="preserve">HAZ, resulting in a slight softening of the material. </w:t>
      </w:r>
    </w:p>
    <w:p w:rsidR="00B37E17" w:rsidRDefault="00313493" w:rsidP="00B20E33">
      <w:pPr>
        <w:pStyle w:val="ListParagraph"/>
        <w:numPr>
          <w:ilvl w:val="0"/>
          <w:numId w:val="4"/>
        </w:numPr>
        <w:spacing w:after="0"/>
      </w:pPr>
      <w:r>
        <w:t xml:space="preserve">The </w:t>
      </w:r>
      <w:r w:rsidR="003C23B5">
        <w:t>outer area of the HAZ is subject to a lesser degree of heat</w:t>
      </w:r>
      <w:r>
        <w:t>. This may be causing some precipitation hardening resulting in the sudden and drastic difference in micro-hardness since it is known that the incubation time for precipitation to occur in these steels is almost nothing (</w:t>
      </w:r>
      <w:proofErr w:type="spellStart"/>
      <w:r w:rsidR="00200622">
        <w:t>Lampman</w:t>
      </w:r>
      <w:proofErr w:type="spellEnd"/>
      <w:r w:rsidR="00200622">
        <w:t xml:space="preserve"> and </w:t>
      </w:r>
      <w:proofErr w:type="spellStart"/>
      <w:r w:rsidR="00200622">
        <w:t>Crankovic</w:t>
      </w:r>
      <w:proofErr w:type="spellEnd"/>
      <w:r w:rsidR="00200622">
        <w:t>, 1990</w:t>
      </w:r>
      <w:r w:rsidR="00A90028">
        <w:t xml:space="preserve">). </w:t>
      </w:r>
      <w:r w:rsidR="003C23B5">
        <w:t>The visible line between the inner HAZ and the outer HAZ then likely represents the temperature at which</w:t>
      </w:r>
      <w:r w:rsidR="00200622">
        <w:t xml:space="preserve"> the material does not anneal</w:t>
      </w:r>
      <w:r w:rsidR="003C23B5">
        <w:t xml:space="preserve">, but instead ages. </w:t>
      </w:r>
    </w:p>
    <w:p w:rsidR="003C23B5" w:rsidRDefault="003C23B5" w:rsidP="00B20E33">
      <w:r>
        <w:t xml:space="preserve">Again, these three inclinations are merely speculation and would require further testing to verify. </w:t>
      </w:r>
    </w:p>
    <w:p w:rsidR="00B20E33" w:rsidRDefault="003C23B5" w:rsidP="00B20E33">
      <w:r>
        <w:tab/>
      </w:r>
      <w:r w:rsidR="00B20E33">
        <w:t xml:space="preserve">After heat treating (precipitation hardening), the hardness results tend to become more uniform as seen in </w:t>
      </w:r>
      <w:r w:rsidR="00200622">
        <w:rPr>
          <w:i/>
        </w:rPr>
        <w:t>Figure 9</w:t>
      </w:r>
      <w:r w:rsidR="00B20E33">
        <w:t xml:space="preserve"> below. Graphs of all micro-hardness across weld of heat treated samples can be found in the appendix, but all results appear to indicate a hardness homogenizing effect of the aging process. </w:t>
      </w:r>
    </w:p>
    <w:p w:rsidR="00B20E33" w:rsidRDefault="00B20E33" w:rsidP="00B20E33">
      <w:pPr>
        <w:keepNext/>
        <w:spacing w:after="0"/>
      </w:pPr>
      <w:r>
        <w:rPr>
          <w:noProof/>
        </w:rPr>
        <w:lastRenderedPageBreak/>
        <w:drawing>
          <wp:inline distT="0" distB="0" distL="0" distR="0" wp14:anchorId="602AC141" wp14:editId="6344B892">
            <wp:extent cx="4105275" cy="211455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0E33" w:rsidRDefault="00B20E33" w:rsidP="00B20E33">
      <w:pPr>
        <w:pStyle w:val="Caption"/>
      </w:pPr>
      <w:r>
        <w:t xml:space="preserve">Figure </w:t>
      </w:r>
      <w:fldSimple w:instr=" SEQ Figure \* ARABIC ">
        <w:r w:rsidR="00E90069">
          <w:rPr>
            <w:noProof/>
          </w:rPr>
          <w:t>9</w:t>
        </w:r>
      </w:fldSimple>
      <w:r>
        <w:t xml:space="preserve"> - Micro-hardness After Heat Treating</w:t>
      </w:r>
    </w:p>
    <w:p w:rsidR="00B20E33" w:rsidRDefault="00B07851" w:rsidP="00457ABB">
      <w:r>
        <w:t>Discrepancies</w:t>
      </w:r>
      <w:r w:rsidR="00A173C6">
        <w:t xml:space="preserve"> in these trends might</w:t>
      </w:r>
      <w:r w:rsidR="005F3525">
        <w:t xml:space="preserve"> be found with further experimentation. For example, in the interest of frugality, as many welds as possible were processed on a single plate of the metal while developing the process parameter map. Consequently, one of these welds was cut up and used to develop the heat treatment diagram. </w:t>
      </w:r>
      <w:r w:rsidR="00457ABB">
        <w:t xml:space="preserve">The possibility exists for a continuous heat affected zone between welds due to their proximity to one another, which may skew the </w:t>
      </w:r>
      <w:r w:rsidR="001A5CA1">
        <w:t xml:space="preserve">micro-hardness results. Further research is required to verify this hardness homogenizing effect. </w:t>
      </w:r>
    </w:p>
    <w:p w:rsidR="001A5CA1" w:rsidRPr="00803BF7" w:rsidRDefault="001A5CA1" w:rsidP="00457ABB">
      <w:r>
        <w:tab/>
        <w:t>The post-weld heat treatment diagram (</w:t>
      </w:r>
      <w:r w:rsidR="00A173C6">
        <w:rPr>
          <w:i/>
        </w:rPr>
        <w:t>Figure 7</w:t>
      </w:r>
      <w:r>
        <w:t xml:space="preserve">) indicates a temperature of about 900 F is an ideal heat treating temperature. </w:t>
      </w:r>
      <w:r w:rsidR="00803BF7">
        <w:t xml:space="preserve">However, the graph seen in </w:t>
      </w:r>
      <w:r w:rsidR="00A173C6">
        <w:rPr>
          <w:i/>
        </w:rPr>
        <w:t>Figure 10</w:t>
      </w:r>
      <w:r w:rsidR="00803BF7">
        <w:t xml:space="preserve"> below, although indicating different hardness values than that of </w:t>
      </w:r>
      <w:r w:rsidR="00945645">
        <w:t>the post-weld heat treatment diagram</w:t>
      </w:r>
      <w:r w:rsidR="00A173C6">
        <w:t xml:space="preserve"> (indicating heat treatments of unprocessed material)</w:t>
      </w:r>
      <w:r w:rsidR="00945645">
        <w:t xml:space="preserve">, does also indicate that at a certain number of hours the metal treated at 800 F will surpass the hardness of the metal treated 900 F. Furthermore, with even more time the metal treated at 700 F surpasses the hardness of the metal treated at 800 F. </w:t>
      </w:r>
    </w:p>
    <w:p w:rsidR="00803BF7" w:rsidRPr="00214BC0" w:rsidRDefault="00803BF7" w:rsidP="00803BF7">
      <w:pPr>
        <w:keepNext/>
        <w:spacing w:after="0"/>
        <w:rPr>
          <w:i/>
        </w:rPr>
      </w:pPr>
      <w:r w:rsidRPr="00214BC0">
        <w:rPr>
          <w:i/>
          <w:noProof/>
        </w:rPr>
        <w:drawing>
          <wp:inline distT="0" distB="0" distL="0" distR="0" wp14:anchorId="5E69B0B3" wp14:editId="17AC9FF1">
            <wp:extent cx="5140227" cy="27717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893" cy="2776448"/>
                    </a:xfrm>
                    <a:prstGeom prst="rect">
                      <a:avLst/>
                    </a:prstGeom>
                    <a:noFill/>
                    <a:ln>
                      <a:noFill/>
                    </a:ln>
                  </pic:spPr>
                </pic:pic>
              </a:graphicData>
            </a:graphic>
          </wp:inline>
        </w:drawing>
      </w:r>
    </w:p>
    <w:p w:rsidR="001A5CA1" w:rsidRDefault="00803BF7" w:rsidP="00214BC0">
      <w:pPr>
        <w:pStyle w:val="Caption"/>
      </w:pPr>
      <w:r>
        <w:t xml:space="preserve">Figure </w:t>
      </w:r>
      <w:fldSimple w:instr=" SEQ Figure \* ARABIC ">
        <w:r w:rsidR="00E90069">
          <w:rPr>
            <w:noProof/>
          </w:rPr>
          <w:t>10</w:t>
        </w:r>
      </w:fldSimple>
      <w:r>
        <w:t xml:space="preserve"> - Precipitation Hardening of </w:t>
      </w:r>
      <w:r w:rsidR="00473F4A">
        <w:t xml:space="preserve">250 Grade </w:t>
      </w:r>
      <w:r>
        <w:t>Maraging Steel</w:t>
      </w:r>
      <w:r w:rsidR="00A173C6">
        <w:t xml:space="preserve"> (</w:t>
      </w:r>
      <w:proofErr w:type="spellStart"/>
      <w:r w:rsidR="00A173C6">
        <w:t>Lampman</w:t>
      </w:r>
      <w:proofErr w:type="spellEnd"/>
      <w:r w:rsidR="00A173C6">
        <w:t xml:space="preserve"> and </w:t>
      </w:r>
      <w:proofErr w:type="spellStart"/>
      <w:r w:rsidR="00A173C6">
        <w:t>Crakovic</w:t>
      </w:r>
      <w:proofErr w:type="spellEnd"/>
      <w:r w:rsidR="00A173C6">
        <w:t>, 1990</w:t>
      </w:r>
      <w:r>
        <w:t xml:space="preserve">) </w:t>
      </w:r>
    </w:p>
    <w:p w:rsidR="00214BC0" w:rsidRDefault="00214BC0" w:rsidP="00214BC0">
      <w:r>
        <w:lastRenderedPageBreak/>
        <w:t xml:space="preserve">This indicates the possibility of changes in the post-weld heat treatment diagram with further data acquisition, treating samples at different temperatures and for longer durations. It was mentioned previously in this paragraph that the hardness values between </w:t>
      </w:r>
      <w:r w:rsidR="00A173C6">
        <w:rPr>
          <w:i/>
        </w:rPr>
        <w:t>Figure 7</w:t>
      </w:r>
      <w:r>
        <w:t xml:space="preserve"> and </w:t>
      </w:r>
      <w:r w:rsidR="00A173C6">
        <w:rPr>
          <w:i/>
        </w:rPr>
        <w:t>Figure 10</w:t>
      </w:r>
      <w:r>
        <w:rPr>
          <w:i/>
        </w:rPr>
        <w:t xml:space="preserve"> </w:t>
      </w:r>
      <w:r>
        <w:t xml:space="preserve">do not agree. </w:t>
      </w:r>
      <w:r w:rsidR="00473F4A">
        <w:t xml:space="preserve">This may be due to the processing history of the metal or other variations, but is likely due largely in part to the fact that the results of </w:t>
      </w:r>
      <w:r w:rsidR="00A173C6">
        <w:rPr>
          <w:i/>
        </w:rPr>
        <w:t>Figure 7</w:t>
      </w:r>
      <w:r w:rsidR="00473F4A">
        <w:t xml:space="preserve"> are concerned only with the welds, and the results of </w:t>
      </w:r>
      <w:r w:rsidR="00A173C6">
        <w:rPr>
          <w:i/>
        </w:rPr>
        <w:t>Figure 10</w:t>
      </w:r>
      <w:r w:rsidR="00473F4A">
        <w:t xml:space="preserve"> </w:t>
      </w:r>
      <w:r w:rsidR="002B0052">
        <w:t>deal strictly with the pare</w:t>
      </w:r>
      <w:r w:rsidR="00530C9A">
        <w:t>nt material. The differences between these two graphs beg for more information on the aging of the metal during the welding process. It can also be noticed that the samples heat treated after welding tend to be harder than the parent material under the same heat treatment</w:t>
      </w:r>
      <w:r w:rsidR="00530C9A">
        <w:rPr>
          <w:rStyle w:val="FootnoteReference"/>
        </w:rPr>
        <w:footnoteReference w:id="4"/>
      </w:r>
      <w:r w:rsidR="00530C9A">
        <w:t xml:space="preserve">. </w:t>
      </w:r>
      <w:r w:rsidR="00CC36D9">
        <w:t xml:space="preserve">This leaves </w:t>
      </w:r>
      <w:r w:rsidR="00F97486">
        <w:t>the door open to further research</w:t>
      </w:r>
      <w:r w:rsidR="00CC36D9">
        <w:t xml:space="preserve"> </w:t>
      </w:r>
      <w:r w:rsidR="00F97486">
        <w:t xml:space="preserve">on </w:t>
      </w:r>
      <w:r w:rsidR="00CC36D9">
        <w:t xml:space="preserve">the possibility of achieving greater mechanical properties of this metal with friction stir processing and subsequent heat treating. </w:t>
      </w:r>
    </w:p>
    <w:p w:rsidR="00CC36D9" w:rsidRDefault="00CC36D9" w:rsidP="00214BC0"/>
    <w:p w:rsidR="00C81757" w:rsidRDefault="00C81757" w:rsidP="00214BC0">
      <w:pPr>
        <w:rPr>
          <w:b/>
        </w:rPr>
      </w:pPr>
      <w:r>
        <w:rPr>
          <w:b/>
        </w:rPr>
        <w:t xml:space="preserve">Conclusions </w:t>
      </w:r>
    </w:p>
    <w:p w:rsidR="00C81757" w:rsidRDefault="00C81757" w:rsidP="00214BC0">
      <w:r>
        <w:tab/>
        <w:t>Optimal parameters for friction stir welding maraging steel depend on the pin length of the tool</w:t>
      </w:r>
      <w:r w:rsidR="00096834">
        <w:t xml:space="preserve">, but will likely require a large heat input to avoid the presence of wormholes; in this case (0.25” thick sheet metal, 0.230” pin) parameters of a rotational speed of 200 rpm, a longitudinal speed of 2 in/min, and an applied tool force of 6,500 </w:t>
      </w:r>
      <w:r w:rsidR="00B07851">
        <w:t>lbs.</w:t>
      </w:r>
      <w:r w:rsidR="00096834">
        <w:t xml:space="preserve"> yielded the best results. </w:t>
      </w:r>
      <w:r w:rsidR="00FB6FA0">
        <w:t>L</w:t>
      </w:r>
      <w:r w:rsidR="005C5185">
        <w:t xml:space="preserve">ower temperatures and longer durations </w:t>
      </w:r>
      <w:r w:rsidR="00FB6FA0">
        <w:t xml:space="preserve">at these temperatures </w:t>
      </w:r>
      <w:r w:rsidR="005C5185">
        <w:t xml:space="preserve">result in the best hardness response to post-weld heat treatments. </w:t>
      </w:r>
      <w:r w:rsidR="00096834">
        <w:t>The highest h</w:t>
      </w:r>
      <w:r w:rsidR="005C5185">
        <w:t>ardness achieved via</w:t>
      </w:r>
      <w:r w:rsidR="00096834">
        <w:t xml:space="preserve"> pos</w:t>
      </w:r>
      <w:r w:rsidR="005C5185">
        <w:t xml:space="preserve">t-weld heat treating in this research was accomplished by treating at 900 F for 15 hours. </w:t>
      </w:r>
      <w:r w:rsidR="00FB6FA0">
        <w:t xml:space="preserve">Post-weld heat treating of the metal results in micro-hardness uniformity across the weld nugget and HAZ. </w:t>
      </w:r>
    </w:p>
    <w:p w:rsidR="00FB6FA0" w:rsidRDefault="00FB6FA0" w:rsidP="00214BC0"/>
    <w:p w:rsidR="00FB6FA0" w:rsidRDefault="00FB6FA0" w:rsidP="00214BC0">
      <w:r>
        <w:rPr>
          <w:b/>
        </w:rPr>
        <w:t xml:space="preserve">Future Work </w:t>
      </w:r>
    </w:p>
    <w:p w:rsidR="00FB6FA0" w:rsidRDefault="00FB6FA0" w:rsidP="00214BC0">
      <w:r>
        <w:tab/>
      </w:r>
      <w:r w:rsidR="00750A5E">
        <w:t xml:space="preserve">Further refinement of the optimal welding parameters can be achieved exploring different tool force options at </w:t>
      </w:r>
      <w:r w:rsidR="00605169">
        <w:t xml:space="preserve">or around </w:t>
      </w:r>
      <w:r w:rsidR="00750A5E">
        <w:t xml:space="preserve">the parameters </w:t>
      </w:r>
      <w:r w:rsidR="00605169">
        <w:t xml:space="preserve">of a </w:t>
      </w:r>
      <w:r w:rsidR="00750A5E">
        <w:t xml:space="preserve">rotational speed of 200 rpm and </w:t>
      </w:r>
      <w:r w:rsidR="00605169">
        <w:t xml:space="preserve">a </w:t>
      </w:r>
      <w:r w:rsidR="00750A5E">
        <w:t>longitudinal speed of 2 in/min</w:t>
      </w:r>
      <w:r w:rsidR="00605169">
        <w:t xml:space="preserve">; the optimal </w:t>
      </w:r>
      <w:r w:rsidR="00EF5CAF">
        <w:t xml:space="preserve">force parameter likely lies somewhere between 5,000 </w:t>
      </w:r>
      <w:r w:rsidR="00B07851">
        <w:t>lbs.</w:t>
      </w:r>
      <w:r w:rsidR="00EF5CAF">
        <w:t xml:space="preserve"> and 6,500 lbs</w:t>
      </w:r>
      <w:r w:rsidR="00750A5E">
        <w:t>. The lowest heat input possible while still achieving a weld free of wormholes</w:t>
      </w:r>
      <w:r w:rsidR="00EF5CAF">
        <w:t xml:space="preserve"> with complete closure will yield the best results. </w:t>
      </w:r>
    </w:p>
    <w:p w:rsidR="00EF5CAF" w:rsidRDefault="00EF5CAF" w:rsidP="00214BC0">
      <w:r>
        <w:tab/>
        <w:t xml:space="preserve">Further data should be acquired on post-weld heat treatments because the shape of the diagram would likely change. For the temperatures that have been tested, longer treating times are required so the point of </w:t>
      </w:r>
      <w:r w:rsidR="00B07851">
        <w:t>over aging</w:t>
      </w:r>
      <w:r>
        <w:t xml:space="preserve"> can be known for each temperature. It is clear from the current diagram that 1000 F is likely too high an aging temperature</w:t>
      </w:r>
      <w:r w:rsidR="00F77D3A">
        <w:t xml:space="preserve">, so it is not necessary to test any higher temperature than that. However, </w:t>
      </w:r>
      <w:r w:rsidR="0077222E">
        <w:rPr>
          <w:i/>
        </w:rPr>
        <w:t>Figure 10</w:t>
      </w:r>
      <w:r w:rsidR="00F77D3A">
        <w:t xml:space="preserve"> indicates a treating temperature of 700 F can yield very positive results if aged for the appropriate amount of time; it also indicates the a temperature of 600 F is </w:t>
      </w:r>
      <w:r w:rsidR="00F77D3A">
        <w:lastRenderedPageBreak/>
        <w:t xml:space="preserve">probably too low to accomplish any aging in any reasonable amount of time. Therefore the 700 F temperature is likely the lowest treating temperature necessary to explore. </w:t>
      </w:r>
    </w:p>
    <w:p w:rsidR="00F77D3A" w:rsidRDefault="00F77D3A" w:rsidP="00214BC0">
      <w:r>
        <w:tab/>
        <w:t xml:space="preserve">It is also necessary to heat treat samples of the parent material at similar temperatures to verify the results of </w:t>
      </w:r>
      <w:r w:rsidR="0077222E">
        <w:rPr>
          <w:i/>
        </w:rPr>
        <w:t>Figure 10</w:t>
      </w:r>
      <w:r w:rsidR="0077222E">
        <w:t xml:space="preserve"> and compare to</w:t>
      </w:r>
      <w:r>
        <w:t xml:space="preserve"> </w:t>
      </w:r>
      <w:r w:rsidR="0077222E">
        <w:rPr>
          <w:i/>
        </w:rPr>
        <w:t>Figure 7</w:t>
      </w:r>
      <w:r w:rsidR="0088103B">
        <w:t xml:space="preserve"> (due mainly to the unknown processing history of the metal tested behind </w:t>
      </w:r>
      <w:r w:rsidR="0077222E">
        <w:rPr>
          <w:i/>
        </w:rPr>
        <w:t>Figure 10</w:t>
      </w:r>
      <w:r w:rsidR="0088103B">
        <w:t xml:space="preserve">). This information could be useful in determining if and to what extent the metal is aged during the welding process. The possibility of aging during welding should also be explored using microscopy, looking for </w:t>
      </w:r>
      <w:r w:rsidR="009C7AD4">
        <w:t xml:space="preserve">precipitates in the outer area of the HAZ. </w:t>
      </w:r>
    </w:p>
    <w:p w:rsidR="009C7AD4" w:rsidRDefault="009C7AD4" w:rsidP="00214BC0">
      <w:r>
        <w:tab/>
        <w:t xml:space="preserve">Since metal treated post-welding appears to be harder than similarly treated parent material, the possibility of beneficial friction stir processing should also be explored. If it can be known that the metal does age during the welding process, and that the hardness also becomes uniform with heat treating, </w:t>
      </w:r>
      <w:r w:rsidR="007B343A">
        <w:t>then it may be possible to achieve greater hardness throughout the entire material with the correct friction stir process and subsequent heat treatment</w:t>
      </w:r>
      <w:r w:rsidR="0077222E">
        <w:t xml:space="preserve"> compared to untreated maraging steel</w:t>
      </w:r>
      <w:r w:rsidR="007B343A">
        <w:t xml:space="preserve">. It </w:t>
      </w:r>
      <w:r w:rsidR="0077222E">
        <w:t>may also be possible to achieve</w:t>
      </w:r>
      <w:r w:rsidR="007B343A">
        <w:t xml:space="preserve"> joint efficiencies g</w:t>
      </w:r>
      <w:r w:rsidR="0077222E">
        <w:t>reater than 100%</w:t>
      </w:r>
      <w:r w:rsidR="00213018">
        <w:t xml:space="preserve">. </w:t>
      </w:r>
    </w:p>
    <w:p w:rsidR="00EF3DDE" w:rsidRDefault="00EF3DDE" w:rsidP="00214BC0">
      <w:r>
        <w:tab/>
        <w:t xml:space="preserve">More testing of mechanical properties of the material should be conducted both as welded and post-weld heat treated, particularly tensile testing and grain size assessment. Acquiring this data would provide information on a broader variety of mechanical properties for a more complete assessment on the effect of friction stir welding and subsequent heat treatment on maraging steel. </w:t>
      </w:r>
    </w:p>
    <w:p w:rsidR="00213018" w:rsidRDefault="00213018" w:rsidP="00214BC0">
      <w:r>
        <w:tab/>
        <w:t xml:space="preserve">Lastly, for the purpose of industrial application, an analysis of tool wear during the friction stir welding of maraging steels could be conducted. Upon visual inspection, no noticeable tool wear was observed, which is slightly surprising due to the strength of the material and the high amounts of heat involved with the welding process. </w:t>
      </w:r>
      <w:r w:rsidR="005100F5">
        <w:t xml:space="preserve">Important factors to research with a tool wear analysis would be the required frequency of remachining of the tool, lifetime of the tool used strictly on maraging steel (number of times the tool can be remachined), and an estimation of cost per length of weld (due to the high cost of the tungsten rhenium hafnium carbide tools). </w:t>
      </w:r>
    </w:p>
    <w:p w:rsidR="008B263E" w:rsidRDefault="008B263E" w:rsidP="00214BC0"/>
    <w:p w:rsidR="008B263E" w:rsidRDefault="008B263E" w:rsidP="00214BC0">
      <w:r>
        <w:rPr>
          <w:b/>
        </w:rPr>
        <w:t xml:space="preserve">Acknowledgments </w:t>
      </w:r>
    </w:p>
    <w:p w:rsidR="008A023E" w:rsidRDefault="008B263E" w:rsidP="00214BC0">
      <w:r>
        <w:tab/>
      </w:r>
      <w:r w:rsidR="00B07851">
        <w:t>A special thanks is</w:t>
      </w:r>
      <w:r>
        <w:t xml:space="preserve"> extended to the National Science Foundation for providing grant #1157074 and making this research possible. Dr. Michael West is also appreciated for making this program possible at the South Dakota School of Mines and Technology, creating more responsibility for himself </w:t>
      </w:r>
      <w:r w:rsidR="008A023E">
        <w:t xml:space="preserve">during what must have already been a very busy summer. Gratitude is expressed for the guidance of Dr. Al Boysen who kept all </w:t>
      </w:r>
      <w:r w:rsidR="00064D17">
        <w:t xml:space="preserve">the </w:t>
      </w:r>
      <w:r w:rsidR="008A023E">
        <w:t xml:space="preserve">REU students on track. Without the resources and staff of the AMP Center, particularly Todd, Tim, Chris, and Matt, this project would not have been possible. Appreciation is expressed for the love and support provided to this researcher by his wife, Julia Funke. And lastly but mostly, appreciation is expressed to Dr. Bharat Jasthi who spent more time and energy than was truly his responsibility to become personally invested in the research and outcome of this project – thank you. </w:t>
      </w:r>
    </w:p>
    <w:p w:rsidR="00E30744" w:rsidRDefault="00E30744" w:rsidP="00E30744">
      <w:r>
        <w:rPr>
          <w:b/>
          <w:sz w:val="28"/>
          <w:szCs w:val="28"/>
          <w:u w:val="single"/>
        </w:rPr>
        <w:lastRenderedPageBreak/>
        <w:t xml:space="preserve">Bibliography </w:t>
      </w:r>
    </w:p>
    <w:p w:rsidR="00E30744" w:rsidRDefault="00E30744" w:rsidP="00E30744"/>
    <w:p w:rsidR="00AF68F2" w:rsidRPr="00AF68F2" w:rsidRDefault="00AF68F2" w:rsidP="00E30744">
      <w:pPr>
        <w:pStyle w:val="ListParagraph"/>
        <w:numPr>
          <w:ilvl w:val="0"/>
          <w:numId w:val="5"/>
        </w:numPr>
      </w:pPr>
      <w:r>
        <w:rPr>
          <w:rFonts w:ascii="Times New Roman" w:hAnsi="Times New Roman"/>
          <w:sz w:val="24"/>
          <w:szCs w:val="24"/>
        </w:rPr>
        <w:t xml:space="preserve">Mayer, V. A. (2010). </w:t>
      </w:r>
      <w:r>
        <w:rPr>
          <w:rFonts w:ascii="Times New Roman" w:hAnsi="Times New Roman"/>
          <w:i/>
          <w:iCs/>
          <w:sz w:val="24"/>
          <w:szCs w:val="24"/>
        </w:rPr>
        <w:t xml:space="preserve">Annual book of </w:t>
      </w:r>
      <w:proofErr w:type="spellStart"/>
      <w:r>
        <w:rPr>
          <w:rFonts w:ascii="Times New Roman" w:hAnsi="Times New Roman"/>
          <w:i/>
          <w:iCs/>
          <w:sz w:val="24"/>
          <w:szCs w:val="24"/>
        </w:rPr>
        <w:t>astm</w:t>
      </w:r>
      <w:proofErr w:type="spellEnd"/>
      <w:r>
        <w:rPr>
          <w:rFonts w:ascii="Times New Roman" w:hAnsi="Times New Roman"/>
          <w:i/>
          <w:iCs/>
          <w:sz w:val="24"/>
          <w:szCs w:val="24"/>
        </w:rPr>
        <w:t xml:space="preserve"> </w:t>
      </w:r>
      <w:proofErr w:type="gramStart"/>
      <w:r>
        <w:rPr>
          <w:rFonts w:ascii="Times New Roman" w:hAnsi="Times New Roman"/>
          <w:i/>
          <w:iCs/>
          <w:sz w:val="24"/>
          <w:szCs w:val="24"/>
        </w:rPr>
        <w:t xml:space="preserve">standards </w:t>
      </w:r>
      <w:r>
        <w:rPr>
          <w:rFonts w:ascii="Times New Roman" w:hAnsi="Times New Roman"/>
          <w:sz w:val="24"/>
          <w:szCs w:val="24"/>
        </w:rPr>
        <w:t>.</w:t>
      </w:r>
      <w:proofErr w:type="gramEnd"/>
      <w:r>
        <w:rPr>
          <w:rFonts w:ascii="Times New Roman" w:hAnsi="Times New Roman"/>
          <w:sz w:val="24"/>
          <w:szCs w:val="24"/>
        </w:rPr>
        <w:t xml:space="preserve"> (Vol. 3.01). Baltimore, MD: ASTM International.</w:t>
      </w:r>
    </w:p>
    <w:p w:rsidR="00E30744" w:rsidRDefault="00B07851" w:rsidP="00E30744">
      <w:pPr>
        <w:pStyle w:val="ListParagraph"/>
        <w:numPr>
          <w:ilvl w:val="0"/>
          <w:numId w:val="5"/>
        </w:numPr>
      </w:pPr>
      <w:r>
        <w:rPr>
          <w:rFonts w:ascii="Times New Roman" w:hAnsi="Times New Roman"/>
          <w:sz w:val="24"/>
          <w:szCs w:val="24"/>
        </w:rPr>
        <w:t xml:space="preserve">Reddy, G. M., &amp; Ramana, P. V. (2011). </w:t>
      </w:r>
      <w:r w:rsidR="00E30744">
        <w:rPr>
          <w:rFonts w:ascii="Times New Roman" w:hAnsi="Times New Roman"/>
          <w:sz w:val="24"/>
          <w:szCs w:val="24"/>
        </w:rPr>
        <w:t xml:space="preserve">Role of nickel as an interlayer in dissimilar metal friction welding of maraging steel to low alloy steel. </w:t>
      </w:r>
      <w:r>
        <w:rPr>
          <w:rFonts w:ascii="Times New Roman" w:hAnsi="Times New Roman"/>
          <w:i/>
          <w:iCs/>
          <w:sz w:val="24"/>
          <w:szCs w:val="24"/>
        </w:rPr>
        <w:t>Journal of Materials Processing Technology</w:t>
      </w:r>
      <w:r>
        <w:rPr>
          <w:rFonts w:ascii="Times New Roman" w:hAnsi="Times New Roman"/>
          <w:sz w:val="24"/>
          <w:szCs w:val="24"/>
        </w:rPr>
        <w:t xml:space="preserve">, (212), 66-77.     </w:t>
      </w:r>
    </w:p>
    <w:p w:rsidR="00E30744" w:rsidRDefault="00E30744" w:rsidP="00E30744">
      <w:pPr>
        <w:pStyle w:val="ListParagraph"/>
        <w:numPr>
          <w:ilvl w:val="0"/>
          <w:numId w:val="5"/>
        </w:numPr>
      </w:pPr>
      <w:r>
        <w:rPr>
          <w:rFonts w:ascii="Times New Roman" w:hAnsi="Times New Roman"/>
          <w:sz w:val="24"/>
          <w:szCs w:val="24"/>
        </w:rPr>
        <w:t xml:space="preserve">Shamantha, C. R., Narayanan, R., Iyer, K. J. L., Radhakrishnan, V. M., Seshadri, S. K., Sundararajan, S., &amp; Sundaresan, S. (2000). </w:t>
      </w:r>
      <w:r w:rsidR="00B07851">
        <w:rPr>
          <w:rFonts w:ascii="Times New Roman" w:hAnsi="Times New Roman"/>
          <w:sz w:val="24"/>
          <w:szCs w:val="24"/>
        </w:rPr>
        <w:t xml:space="preserve">Microstructural changes during welding and subsequent heat treatment of 18ni (250-grade) maraging steel. </w:t>
      </w:r>
      <w:r w:rsidR="00B07851">
        <w:rPr>
          <w:rFonts w:ascii="Times New Roman" w:hAnsi="Times New Roman"/>
          <w:i/>
          <w:iCs/>
          <w:sz w:val="24"/>
          <w:szCs w:val="24"/>
        </w:rPr>
        <w:t>Materials Science and Engineering</w:t>
      </w:r>
      <w:r w:rsidR="00B07851">
        <w:rPr>
          <w:rFonts w:ascii="Times New Roman" w:hAnsi="Times New Roman"/>
          <w:sz w:val="24"/>
          <w:szCs w:val="24"/>
        </w:rPr>
        <w:t xml:space="preserve">, </w:t>
      </w:r>
      <w:r w:rsidR="00B07851">
        <w:rPr>
          <w:rFonts w:ascii="Times New Roman" w:hAnsi="Times New Roman"/>
          <w:i/>
          <w:iCs/>
          <w:sz w:val="24"/>
          <w:szCs w:val="24"/>
        </w:rPr>
        <w:t>A</w:t>
      </w:r>
      <w:r w:rsidR="00B07851">
        <w:rPr>
          <w:rFonts w:ascii="Times New Roman" w:hAnsi="Times New Roman"/>
          <w:sz w:val="24"/>
          <w:szCs w:val="24"/>
        </w:rPr>
        <w:t xml:space="preserve">(287), 43-51.         </w:t>
      </w:r>
      <w:r>
        <w:t xml:space="preserve"> </w:t>
      </w:r>
    </w:p>
    <w:p w:rsidR="00E30744" w:rsidRDefault="00E30744" w:rsidP="00E30744">
      <w:pPr>
        <w:pStyle w:val="ListParagraph"/>
        <w:numPr>
          <w:ilvl w:val="0"/>
          <w:numId w:val="5"/>
        </w:numPr>
      </w:pPr>
      <w:r>
        <w:rPr>
          <w:rFonts w:ascii="Times New Roman" w:hAnsi="Times New Roman"/>
          <w:sz w:val="24"/>
          <w:szCs w:val="24"/>
        </w:rPr>
        <w:t xml:space="preserve">Viswanathan, U. K., Dey, G. K., &amp; Asundi, M. K. (1993). Precipitation hardening in 350 grade maraging steel. </w:t>
      </w:r>
      <w:r>
        <w:rPr>
          <w:rFonts w:ascii="Times New Roman" w:hAnsi="Times New Roman"/>
          <w:i/>
          <w:iCs/>
          <w:sz w:val="24"/>
          <w:szCs w:val="24"/>
        </w:rPr>
        <w:t>Metallurgical Transactions A</w:t>
      </w:r>
      <w:r>
        <w:rPr>
          <w:rFonts w:ascii="Times New Roman" w:hAnsi="Times New Roman"/>
          <w:sz w:val="24"/>
          <w:szCs w:val="24"/>
        </w:rPr>
        <w:t xml:space="preserve">, </w:t>
      </w:r>
      <w:proofErr w:type="gramStart"/>
      <w:r>
        <w:rPr>
          <w:rFonts w:ascii="Times New Roman" w:hAnsi="Times New Roman"/>
          <w:i/>
          <w:iCs/>
          <w:sz w:val="24"/>
          <w:szCs w:val="24"/>
        </w:rPr>
        <w:t>24A</w:t>
      </w:r>
      <w:r>
        <w:rPr>
          <w:rFonts w:ascii="Times New Roman" w:hAnsi="Times New Roman"/>
          <w:sz w:val="24"/>
          <w:szCs w:val="24"/>
        </w:rPr>
        <w:t>(</w:t>
      </w:r>
      <w:proofErr w:type="gramEnd"/>
      <w:r>
        <w:rPr>
          <w:rFonts w:ascii="Times New Roman" w:hAnsi="Times New Roman"/>
          <w:sz w:val="24"/>
          <w:szCs w:val="24"/>
        </w:rPr>
        <w:t xml:space="preserve">November), 2429-2442.     </w:t>
      </w:r>
    </w:p>
    <w:p w:rsidR="00E30744" w:rsidRPr="00FE0463" w:rsidRDefault="00E30744" w:rsidP="00E30744">
      <w:pPr>
        <w:pStyle w:val="ListParagraph"/>
        <w:numPr>
          <w:ilvl w:val="0"/>
          <w:numId w:val="5"/>
        </w:numPr>
      </w:pPr>
      <w:proofErr w:type="gramStart"/>
      <w:r>
        <w:rPr>
          <w:rFonts w:ascii="Times New Roman" w:hAnsi="Times New Roman"/>
          <w:sz w:val="24"/>
          <w:szCs w:val="24"/>
        </w:rPr>
        <w:t>Callister ,</w:t>
      </w:r>
      <w:proofErr w:type="gramEnd"/>
      <w:r>
        <w:rPr>
          <w:rFonts w:ascii="Times New Roman" w:hAnsi="Times New Roman"/>
          <w:sz w:val="24"/>
          <w:szCs w:val="24"/>
        </w:rPr>
        <w:t xml:space="preserve"> W. D. (2007). </w:t>
      </w:r>
      <w:r>
        <w:rPr>
          <w:rFonts w:ascii="Times New Roman" w:hAnsi="Times New Roman"/>
          <w:i/>
          <w:iCs/>
          <w:sz w:val="24"/>
          <w:szCs w:val="24"/>
        </w:rPr>
        <w:t>Materials science and engineering:an introduction</w:t>
      </w:r>
      <w:r>
        <w:rPr>
          <w:rFonts w:ascii="Times New Roman" w:hAnsi="Times New Roman"/>
          <w:sz w:val="24"/>
          <w:szCs w:val="24"/>
        </w:rPr>
        <w:t xml:space="preserve">. (8 ed., pp. 359-411). </w:t>
      </w:r>
    </w:p>
    <w:p w:rsidR="00E30744" w:rsidRDefault="00E30744" w:rsidP="00E30744">
      <w:pPr>
        <w:pStyle w:val="ListParagraph"/>
        <w:numPr>
          <w:ilvl w:val="0"/>
          <w:numId w:val="5"/>
        </w:numPr>
      </w:pPr>
      <w:r>
        <w:rPr>
          <w:rFonts w:ascii="Times New Roman" w:hAnsi="Times New Roman"/>
          <w:sz w:val="24"/>
          <w:szCs w:val="24"/>
        </w:rPr>
        <w:t xml:space="preserve">Maraging steels. In (1990). H. Lampman &amp; G. Crankovic (Eds.), </w:t>
      </w:r>
      <w:r>
        <w:rPr>
          <w:rStyle w:val="Emphasis"/>
          <w:rFonts w:ascii="Times New Roman" w:hAnsi="Times New Roman"/>
          <w:sz w:val="24"/>
          <w:szCs w:val="24"/>
        </w:rPr>
        <w:t>Metals Handbook Volume 1: Properties and Selection: Irons, Steels, and High Performance Alloys</w:t>
      </w:r>
      <w:r>
        <w:rPr>
          <w:rFonts w:ascii="Times New Roman" w:hAnsi="Times New Roman"/>
          <w:sz w:val="24"/>
          <w:szCs w:val="24"/>
        </w:rPr>
        <w:t xml:space="preserve"> (pp. 793-800). Materials Park, OH: ASM International.      </w:t>
      </w:r>
    </w:p>
    <w:p w:rsidR="0064350E" w:rsidRPr="00FE0463" w:rsidRDefault="00E01A3D" w:rsidP="00E30744">
      <w:pPr>
        <w:pStyle w:val="ListParagraph"/>
        <w:numPr>
          <w:ilvl w:val="0"/>
          <w:numId w:val="5"/>
        </w:numPr>
      </w:pPr>
      <w:r>
        <w:rPr>
          <w:rFonts w:ascii="Times New Roman" w:hAnsi="Times New Roman"/>
          <w:i/>
          <w:iCs/>
          <w:sz w:val="24"/>
          <w:szCs w:val="24"/>
        </w:rPr>
        <w:t>winxen.com</w:t>
      </w:r>
      <w:r>
        <w:rPr>
          <w:rFonts w:ascii="Times New Roman" w:hAnsi="Times New Roman"/>
          <w:sz w:val="24"/>
          <w:szCs w:val="24"/>
        </w:rPr>
        <w:t>. (2007). Retrieved from http://eng.winxen.com/generic/home-frame-1.aspx?tplcode=BODYmn2007723142021</w:t>
      </w:r>
    </w:p>
    <w:p w:rsidR="00E30744" w:rsidRDefault="00E30744">
      <w:r>
        <w:br w:type="page"/>
      </w:r>
    </w:p>
    <w:p w:rsidR="00616299" w:rsidRDefault="00E30744" w:rsidP="00214BC0">
      <w:r>
        <w:rPr>
          <w:b/>
        </w:rPr>
        <w:lastRenderedPageBreak/>
        <w:t xml:space="preserve">Appendix </w:t>
      </w:r>
      <w:r w:rsidR="00616299">
        <w:rPr>
          <w:b/>
        </w:rPr>
        <w:t xml:space="preserve">I – </w:t>
      </w:r>
      <w:r w:rsidR="00616299">
        <w:t xml:space="preserve">Micro-hardness data </w:t>
      </w:r>
    </w:p>
    <w:p w:rsidR="00616299" w:rsidRPr="00616299" w:rsidRDefault="00616299" w:rsidP="00214BC0"/>
    <w:p w:rsidR="00616299" w:rsidRDefault="00616299" w:rsidP="00214BC0">
      <w:r>
        <w:rPr>
          <w:noProof/>
        </w:rPr>
        <w:drawing>
          <wp:inline distT="0" distB="0" distL="0" distR="0" wp14:anchorId="760F2823" wp14:editId="3E83BBE7">
            <wp:extent cx="4857750" cy="26670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7A48" w:rsidRDefault="005B7A48" w:rsidP="00214BC0"/>
    <w:p w:rsidR="005B7A48" w:rsidRPr="005B7A48" w:rsidRDefault="005B7A48" w:rsidP="00214BC0">
      <w:pPr>
        <w:rPr>
          <w:u w:val="single"/>
        </w:rPr>
      </w:pPr>
      <w:r>
        <w:rPr>
          <w:u w:val="single"/>
        </w:rPr>
        <w:t xml:space="preserve">Post-Weld Heat Treatment Outline </w:t>
      </w:r>
    </w:p>
    <w:tbl>
      <w:tblPr>
        <w:tblStyle w:val="TableGrid"/>
        <w:tblW w:w="9365" w:type="dxa"/>
        <w:tblLook w:val="04A0" w:firstRow="1" w:lastRow="0" w:firstColumn="1" w:lastColumn="0" w:noHBand="0" w:noVBand="1"/>
      </w:tblPr>
      <w:tblGrid>
        <w:gridCol w:w="2658"/>
        <w:gridCol w:w="2025"/>
        <w:gridCol w:w="2341"/>
        <w:gridCol w:w="2341"/>
      </w:tblGrid>
      <w:tr w:rsidR="00616299" w:rsidRPr="00DD2449" w:rsidTr="005B7A48">
        <w:trPr>
          <w:trHeight w:val="684"/>
        </w:trPr>
        <w:tc>
          <w:tcPr>
            <w:tcW w:w="2658"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663360" behindDoc="0" locked="0" layoutInCell="1" allowOverlap="1" wp14:anchorId="035BF47E" wp14:editId="79BF27B6">
                      <wp:simplePos x="0" y="0"/>
                      <wp:positionH relativeFrom="column">
                        <wp:posOffset>1343025</wp:posOffset>
                      </wp:positionH>
                      <wp:positionV relativeFrom="paragraph">
                        <wp:posOffset>151765</wp:posOffset>
                      </wp:positionV>
                      <wp:extent cx="2381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2381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05.75pt;margin-top:11.95pt;width:18.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VB7gEAADsEAAAOAAAAZHJzL2Uyb0RvYy54bWysU8GO0zAQvSPxD5bvNGnQwlI1XaEuywVB&#10;tQsf4HXsxpLtscamaf+esZOmdDmBuDi2Z97Mey/j9d3RWXZQGA34li8XNWfKS+iM37f8x/eHN7ec&#10;xSR8Jyx41fKTivxu8/rVeggr1UAPtlPIqIiPqyG0vE8prKoqyl45ERcQlKegBnQi0RH3VYdioOrO&#10;Vk1dv6sGwC4gSBUj3d6PQb4p9bVWMn3TOqrEbMuJWyorlvU5r9VmLVZ7FKE3cqIh/oGFE8ZT07nU&#10;vUiC/UTzRylnJEIEnRYSXAVaG6mKBlKzrF+oeepFUEULmRPDbFP8f2Xl18MOmela3rznzAtH/+gp&#10;oTD7PrGPiDCwLXhPPgIySiG/hhBXBNv6HU6nGHaYxR81uvwlWexYPD7NHqtjYpIum7e3y+aGM3kO&#10;VRdcwJg+K3Asb1oeJx4zgWWxWBy+xESdCXgG5KbWs4Em8EN9U5e0CNZ0D8baHCzzpLYW2UHQJKTj&#10;MiuhCldZSRj7yXcsnQLZILL6Kc16ys7CR6lll05WjY0flSYLSdxI8EUzIaXy6dzQesrOME3UZuBE&#10;OU/9heU1cMrPUFUG+2/AM6J0Bp9msDMecDTsuvvFIz3mnx0YdWcLnqE7lSEo1tCEFkun15SfwO/n&#10;Ar+8+c0vAAAA//8DAFBLAwQUAAYACAAAACEAiZlss9oAAAAJAQAADwAAAGRycy9kb3ducmV2Lnht&#10;bEyPQU7DMBBF90jcwRokdtRJgIiGOBUC9QC4PcDUNkmUeBzFbhM4PYNYwG5m/tef9+vd6kdxcXPs&#10;AynINxkIRybYnloFx8P+7glETEgWx0BOwaeLsGuur2qsbFjo3V10agWHUKxQQZfSVEkZTec8xk2Y&#10;HLH2EWaPide5lXbGhcP9KIssK6XHnvhDh5N77ZwZ9Nkr0MOy16SH9mBL05dIb2T0l1K3N+vLM4jk&#10;1vRnhh98RoeGmU7hTDaKUUGR549s5eF+C4INxcOWy51+D7Kp5f8GzTcAAAD//wMAUEsBAi0AFAAG&#10;AAgAAAAhALaDOJL+AAAA4QEAABMAAAAAAAAAAAAAAAAAAAAAAFtDb250ZW50X1R5cGVzXS54bWxQ&#10;SwECLQAUAAYACAAAACEAOP0h/9YAAACUAQAACwAAAAAAAAAAAAAAAAAvAQAAX3JlbHMvLnJlbHNQ&#10;SwECLQAUAAYACAAAACEAFpeFQe4BAAA7BAAADgAAAAAAAAAAAAAAAAAuAgAAZHJzL2Uyb0RvYy54&#10;bWxQSwECLQAUAAYACAAAACEAiZlss9oAAAAJAQAADwAAAAAAAAAAAAAAAABIBAAAZHJzL2Rvd25y&#10;ZXYueG1sUEsFBgAAAAAEAAQA8wAAAE8FAAAAAA==&#10;" strokecolor="black [3213]" strokeweight="1.5pt">
                      <v:stroke endarrow="open"/>
                    </v:shape>
                  </w:pict>
                </mc:Fallback>
              </mc:AlternateContent>
            </w:r>
            <w:r>
              <w:rPr>
                <w:rFonts w:ascii="Calibri" w:eastAsia="Times New Roman" w:hAnsi="Calibri" w:cs="Calibri"/>
                <w:noProof/>
                <w:color w:val="000000"/>
              </w:rPr>
              <mc:AlternateContent>
                <mc:Choice Requires="wps">
                  <w:drawing>
                    <wp:anchor distT="0" distB="0" distL="114300" distR="114300" simplePos="0" relativeHeight="251662336" behindDoc="0" locked="0" layoutInCell="1" allowOverlap="1" wp14:anchorId="35637C2F" wp14:editId="449FF5B5">
                      <wp:simplePos x="0" y="0"/>
                      <wp:positionH relativeFrom="column">
                        <wp:posOffset>857250</wp:posOffset>
                      </wp:positionH>
                      <wp:positionV relativeFrom="paragraph">
                        <wp:posOffset>18415</wp:posOffset>
                      </wp:positionV>
                      <wp:extent cx="0" cy="304800"/>
                      <wp:effectExtent l="9525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304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67.5pt;margin-top:1.45pt;width:0;height:2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U7QEAADsEAAAOAAAAZHJzL2Uyb0RvYy54bWysU9uO0zAQfUfiHyy/06TloiVqukJdlhcE&#10;Fct+gNexG0u2xxqbpv17xk6a0uWJFS++zpk553i8vj06yw4KowHf8uWi5kx5CZ3x+5Y//rx/c8NZ&#10;TMJ3woJXLT+pyG83r1+th9CoFfRgO4WMkvjYDKHlfUqhqaooe+VEXEBQni41oBOJtrivOhQDZXe2&#10;WtX1h2oA7AKCVDHS6d14yTclv9ZKpu9aR5WYbTlxS2XEMj7lsdqsRbNHEXojJxriBSycMJ6Kzqnu&#10;RBLsF5q/UjkjESLotJDgKtDaSFU0kJpl/UzNQy+CKlrInBhmm+L/Syu/HXbITNfyFb2UF47e6CGh&#10;MPs+sU+IMLAteE8+AjIKIb+GEBuCbf0Op10MO8zijxpdnkkWOxaPT7PH6piYHA8lnb6t393Uxf7q&#10;ggsY0xcFjuVFy+PEYyawLBaLw9eYqDIBz4Bc1Ho2UAd+rN/XJSyCNd29sTZfln5SW4vsIKgT0nGZ&#10;lVCGq6gkjP3sO5ZOgWwQWf0UZj1FZ+Gj1LJKJ6vGwj+UJgtJ3EjwWTEhpfLpXNB6is4wTdRm4EQ5&#10;d/2F5TVwis9QVRr7X8AzolQGn2awMx5wNOy6+sUjPcafHRh1ZwueoDuVJijWUIcWS6fflL/An/sC&#10;v/z5zW8AAAD//wMAUEsDBBQABgAIAAAAIQB77hCq2AAAAAgBAAAPAAAAZHJzL2Rvd25yZXYueG1s&#10;TI9BTsMwEEX3SNzBGqTuqEOrRm0ap0KgHgCXA0ztaRIlHkex2wROj8sGlk9/9Of98jC7XtxoDK1n&#10;BS/LDASx8bblWsHn6fi8BREissXeMyn4ogCH6vGhxML6iT/opmMtUgmHAhU0MQ6FlME05DAs/UCc&#10;sosfHcaEYy3tiFMqd71cZVkuHbacPjQ40FtDptNXp0B301Gz7uqTzU2bI7+z0d9KLZ7m1z2ISHP8&#10;O4a7flKHKjmd/ZVtEH3i9SZtiQpWOxD3/JfPCjbZDmRVyv8Dqh8AAAD//wMAUEsBAi0AFAAGAAgA&#10;AAAhALaDOJL+AAAA4QEAABMAAAAAAAAAAAAAAAAAAAAAAFtDb250ZW50X1R5cGVzXS54bWxQSwEC&#10;LQAUAAYACAAAACEAOP0h/9YAAACUAQAACwAAAAAAAAAAAAAAAAAvAQAAX3JlbHMvLnJlbHNQSwEC&#10;LQAUAAYACAAAACEAWPmZlO0BAAA7BAAADgAAAAAAAAAAAAAAAAAuAgAAZHJzL2Uyb0RvYy54bWxQ&#10;SwECLQAUAAYACAAAACEAe+4QqtgAAAAIAQAADwAAAAAAAAAAAAAAAABHBAAAZHJzL2Rvd25yZXYu&#10;eG1sUEsFBgAAAAAEAAQA8wAAAEwFAAAAAA==&#10;" strokecolor="black [3213]" strokeweight="1.5pt">
                      <v:stroke endarrow="open"/>
                    </v:shape>
                  </w:pict>
                </mc:Fallback>
              </mc:AlternateContent>
            </w:r>
            <w:r w:rsidRPr="00DD2449">
              <w:rPr>
                <w:rFonts w:ascii="Calibri" w:eastAsia="Times New Roman" w:hAnsi="Calibri" w:cs="Calibri"/>
                <w:color w:val="000000"/>
              </w:rPr>
              <w:t>Temperature</w:t>
            </w:r>
            <w:r>
              <w:rPr>
                <w:rFonts w:ascii="Calibri" w:eastAsia="Times New Roman" w:hAnsi="Calibri" w:cs="Calibri"/>
                <w:color w:val="000000"/>
              </w:rPr>
              <w:t xml:space="preserve">      </w:t>
            </w:r>
            <w:r w:rsidRPr="00DD2449">
              <w:rPr>
                <w:rFonts w:ascii="Calibri" w:eastAsia="Times New Roman" w:hAnsi="Calibri" w:cs="Calibri"/>
                <w:color w:val="000000"/>
              </w:rPr>
              <w:t xml:space="preserve"> </w:t>
            </w:r>
            <w:r>
              <w:rPr>
                <w:rFonts w:ascii="Calibri" w:eastAsia="Times New Roman" w:hAnsi="Calibri" w:cs="Calibri"/>
                <w:color w:val="000000"/>
              </w:rPr>
              <w:t xml:space="preserve">Time </w:t>
            </w:r>
            <w:r w:rsidRPr="00DD2449">
              <w:rPr>
                <w:rFonts w:ascii="Calibri" w:eastAsia="Times New Roman" w:hAnsi="Calibri" w:cs="Calibri"/>
                <w:color w:val="000000"/>
              </w:rPr>
              <w:t>(</w:t>
            </w:r>
            <w:r w:rsidR="00B07851" w:rsidRPr="00DD2449">
              <w:rPr>
                <w:rFonts w:ascii="Calibri" w:eastAsia="Times New Roman" w:hAnsi="Calibri" w:cs="Calibri"/>
                <w:color w:val="000000"/>
              </w:rPr>
              <w:t>Fahrenheit</w:t>
            </w:r>
            <w:r w:rsidRPr="00DD2449">
              <w:rPr>
                <w:rFonts w:ascii="Calibri" w:eastAsia="Times New Roman" w:hAnsi="Calibri" w:cs="Calibri"/>
                <w:color w:val="000000"/>
              </w:rPr>
              <w:t xml:space="preserve">) </w:t>
            </w:r>
            <w:r>
              <w:rPr>
                <w:rFonts w:ascii="Calibri" w:eastAsia="Times New Roman" w:hAnsi="Calibri" w:cs="Calibri"/>
                <w:color w:val="000000"/>
              </w:rPr>
              <w:t xml:space="preserve">     (hours)</w:t>
            </w:r>
          </w:p>
        </w:tc>
        <w:tc>
          <w:tcPr>
            <w:tcW w:w="2025" w:type="dxa"/>
            <w:noWrap/>
            <w:hideMark/>
          </w:tcPr>
          <w:p w:rsidR="00616299" w:rsidRPr="00DD2449" w:rsidRDefault="00616299" w:rsidP="00E90069">
            <w:pPr>
              <w:jc w:val="center"/>
              <w:rPr>
                <w:rFonts w:ascii="Calibri" w:eastAsia="Times New Roman" w:hAnsi="Calibri" w:cs="Calibri"/>
                <w:color w:val="000000"/>
              </w:rPr>
            </w:pPr>
            <w:r>
              <w:rPr>
                <w:rFonts w:ascii="Calibri" w:eastAsia="Times New Roman" w:hAnsi="Calibri" w:cs="Calibri"/>
                <w:color w:val="000000"/>
              </w:rPr>
              <w:t>1</w:t>
            </w:r>
          </w:p>
        </w:tc>
        <w:tc>
          <w:tcPr>
            <w:tcW w:w="2341" w:type="dxa"/>
            <w:noWrap/>
            <w:hideMark/>
          </w:tcPr>
          <w:p w:rsidR="00616299" w:rsidRPr="00DD2449" w:rsidRDefault="00616299" w:rsidP="00E90069">
            <w:pPr>
              <w:jc w:val="center"/>
              <w:rPr>
                <w:rFonts w:ascii="Calibri" w:eastAsia="Times New Roman" w:hAnsi="Calibri" w:cs="Calibri"/>
                <w:color w:val="000000"/>
              </w:rPr>
            </w:pPr>
            <w:r>
              <w:rPr>
                <w:rFonts w:ascii="Calibri" w:eastAsia="Times New Roman" w:hAnsi="Calibri" w:cs="Calibri"/>
                <w:color w:val="000000"/>
              </w:rPr>
              <w:t>5</w:t>
            </w:r>
          </w:p>
        </w:tc>
        <w:tc>
          <w:tcPr>
            <w:tcW w:w="2341" w:type="dxa"/>
            <w:noWrap/>
            <w:hideMark/>
          </w:tcPr>
          <w:p w:rsidR="00616299" w:rsidRPr="00DD2449" w:rsidRDefault="00616299" w:rsidP="00E90069">
            <w:pPr>
              <w:jc w:val="center"/>
              <w:rPr>
                <w:rFonts w:ascii="Calibri" w:eastAsia="Times New Roman" w:hAnsi="Calibri" w:cs="Calibri"/>
                <w:color w:val="000000"/>
              </w:rPr>
            </w:pPr>
            <w:r>
              <w:rPr>
                <w:rFonts w:ascii="Calibri" w:eastAsia="Times New Roman" w:hAnsi="Calibri" w:cs="Calibri"/>
                <w:color w:val="000000"/>
              </w:rPr>
              <w:t>15</w:t>
            </w:r>
          </w:p>
        </w:tc>
      </w:tr>
      <w:tr w:rsidR="00616299" w:rsidRPr="00DD2449" w:rsidTr="005B7A48">
        <w:trPr>
          <w:trHeight w:val="317"/>
        </w:trPr>
        <w:tc>
          <w:tcPr>
            <w:tcW w:w="2658" w:type="dxa"/>
            <w:noWrap/>
            <w:hideMark/>
          </w:tcPr>
          <w:p w:rsidR="00616299" w:rsidRPr="00DD2449" w:rsidRDefault="00616299" w:rsidP="00E90069">
            <w:pPr>
              <w:jc w:val="right"/>
              <w:rPr>
                <w:rFonts w:ascii="Calibri" w:eastAsia="Times New Roman" w:hAnsi="Calibri" w:cs="Calibri"/>
                <w:color w:val="000000"/>
              </w:rPr>
            </w:pPr>
            <w:r w:rsidRPr="00DD2449">
              <w:rPr>
                <w:rFonts w:ascii="Calibri" w:eastAsia="Times New Roman" w:hAnsi="Calibri" w:cs="Calibri"/>
                <w:color w:val="000000"/>
              </w:rPr>
              <w:t>800</w:t>
            </w:r>
          </w:p>
        </w:tc>
        <w:tc>
          <w:tcPr>
            <w:tcW w:w="2025"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color w:val="000000"/>
              </w:rPr>
              <w:t xml:space="preserve">Sample </w:t>
            </w:r>
            <w:r w:rsidRPr="00DD2449">
              <w:rPr>
                <w:rFonts w:ascii="Calibri" w:eastAsia="Times New Roman" w:hAnsi="Calibri" w:cs="Calibri"/>
                <w:color w:val="000000"/>
              </w:rPr>
              <w:t>A</w:t>
            </w:r>
          </w:p>
        </w:tc>
        <w:tc>
          <w:tcPr>
            <w:tcW w:w="2341"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color w:val="000000"/>
              </w:rPr>
              <w:t xml:space="preserve">Sample B </w:t>
            </w:r>
          </w:p>
        </w:tc>
        <w:tc>
          <w:tcPr>
            <w:tcW w:w="2341"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color w:val="000000"/>
              </w:rPr>
              <w:t xml:space="preserve">Sample C </w:t>
            </w:r>
          </w:p>
        </w:tc>
      </w:tr>
      <w:tr w:rsidR="00616299" w:rsidRPr="00DD2449" w:rsidTr="005B7A48">
        <w:trPr>
          <w:trHeight w:val="317"/>
        </w:trPr>
        <w:tc>
          <w:tcPr>
            <w:tcW w:w="2658" w:type="dxa"/>
            <w:noWrap/>
            <w:hideMark/>
          </w:tcPr>
          <w:p w:rsidR="00616299" w:rsidRPr="00DD2449" w:rsidRDefault="00616299" w:rsidP="00E90069">
            <w:pPr>
              <w:jc w:val="right"/>
              <w:rPr>
                <w:rFonts w:ascii="Calibri" w:eastAsia="Times New Roman" w:hAnsi="Calibri" w:cs="Calibri"/>
                <w:color w:val="000000"/>
              </w:rPr>
            </w:pPr>
            <w:r w:rsidRPr="00DD2449">
              <w:rPr>
                <w:rFonts w:ascii="Calibri" w:eastAsia="Times New Roman" w:hAnsi="Calibri" w:cs="Calibri"/>
                <w:color w:val="000000"/>
              </w:rPr>
              <w:t>900</w:t>
            </w:r>
          </w:p>
        </w:tc>
        <w:tc>
          <w:tcPr>
            <w:tcW w:w="2025"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color w:val="000000"/>
              </w:rPr>
              <w:t>Sample D</w:t>
            </w:r>
          </w:p>
        </w:tc>
        <w:tc>
          <w:tcPr>
            <w:tcW w:w="2341"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color w:val="000000"/>
              </w:rPr>
              <w:t xml:space="preserve">Sample E </w:t>
            </w:r>
          </w:p>
        </w:tc>
        <w:tc>
          <w:tcPr>
            <w:tcW w:w="2341"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color w:val="000000"/>
              </w:rPr>
              <w:t xml:space="preserve">Sample F </w:t>
            </w:r>
          </w:p>
        </w:tc>
      </w:tr>
      <w:tr w:rsidR="00616299" w:rsidRPr="00DD2449" w:rsidTr="005B7A48">
        <w:trPr>
          <w:trHeight w:val="317"/>
        </w:trPr>
        <w:tc>
          <w:tcPr>
            <w:tcW w:w="2658" w:type="dxa"/>
            <w:noWrap/>
            <w:hideMark/>
          </w:tcPr>
          <w:p w:rsidR="00616299" w:rsidRPr="00DD2449" w:rsidRDefault="00616299" w:rsidP="00E90069">
            <w:pPr>
              <w:jc w:val="right"/>
              <w:rPr>
                <w:rFonts w:ascii="Calibri" w:eastAsia="Times New Roman" w:hAnsi="Calibri" w:cs="Calibri"/>
                <w:color w:val="000000"/>
              </w:rPr>
            </w:pPr>
            <w:r w:rsidRPr="00DD2449">
              <w:rPr>
                <w:rFonts w:ascii="Calibri" w:eastAsia="Times New Roman" w:hAnsi="Calibri" w:cs="Calibri"/>
                <w:color w:val="000000"/>
              </w:rPr>
              <w:t>1000</w:t>
            </w:r>
          </w:p>
        </w:tc>
        <w:tc>
          <w:tcPr>
            <w:tcW w:w="2025"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color w:val="000000"/>
              </w:rPr>
              <w:t xml:space="preserve">Sample </w:t>
            </w:r>
            <w:r w:rsidRPr="00DD2449">
              <w:rPr>
                <w:rFonts w:ascii="Calibri" w:eastAsia="Times New Roman" w:hAnsi="Calibri" w:cs="Calibri"/>
                <w:color w:val="000000"/>
              </w:rPr>
              <w:t>G</w:t>
            </w:r>
          </w:p>
        </w:tc>
        <w:tc>
          <w:tcPr>
            <w:tcW w:w="2341" w:type="dxa"/>
            <w:noWrap/>
            <w:hideMark/>
          </w:tcPr>
          <w:p w:rsidR="00616299" w:rsidRPr="00DD2449" w:rsidRDefault="00616299" w:rsidP="00E90069">
            <w:pPr>
              <w:rPr>
                <w:rFonts w:ascii="Calibri" w:eastAsia="Times New Roman" w:hAnsi="Calibri" w:cs="Calibri"/>
                <w:color w:val="000000"/>
              </w:rPr>
            </w:pPr>
            <w:r>
              <w:rPr>
                <w:rFonts w:ascii="Calibri" w:eastAsia="Times New Roman" w:hAnsi="Calibri" w:cs="Calibri"/>
                <w:color w:val="000000"/>
              </w:rPr>
              <w:t xml:space="preserve">Sample H </w:t>
            </w:r>
          </w:p>
        </w:tc>
        <w:tc>
          <w:tcPr>
            <w:tcW w:w="2341" w:type="dxa"/>
            <w:noWrap/>
            <w:hideMark/>
          </w:tcPr>
          <w:p w:rsidR="00616299" w:rsidRPr="00DD2449" w:rsidRDefault="00616299" w:rsidP="00E90069">
            <w:pPr>
              <w:keepNext/>
              <w:rPr>
                <w:rFonts w:ascii="Calibri" w:eastAsia="Times New Roman" w:hAnsi="Calibri" w:cs="Calibri"/>
                <w:color w:val="000000"/>
              </w:rPr>
            </w:pPr>
            <w:r>
              <w:rPr>
                <w:rFonts w:ascii="Calibri" w:eastAsia="Times New Roman" w:hAnsi="Calibri" w:cs="Calibri"/>
                <w:color w:val="000000"/>
              </w:rPr>
              <w:t>Sample I</w:t>
            </w:r>
          </w:p>
        </w:tc>
      </w:tr>
    </w:tbl>
    <w:p w:rsidR="005B7A48" w:rsidRDefault="005B7A48" w:rsidP="00214BC0"/>
    <w:p w:rsidR="005B7A48" w:rsidRDefault="005B7A48">
      <w:r>
        <w:br w:type="page"/>
      </w:r>
    </w:p>
    <w:p w:rsidR="00616299" w:rsidRPr="005B7A48" w:rsidRDefault="005B7A48" w:rsidP="00214BC0">
      <w:pPr>
        <w:rPr>
          <w:u w:val="single"/>
        </w:rPr>
      </w:pPr>
      <w:r>
        <w:rPr>
          <w:u w:val="single"/>
        </w:rPr>
        <w:lastRenderedPageBreak/>
        <w:t xml:space="preserve">800 </w:t>
      </w:r>
      <w:r w:rsidR="00B07851">
        <w:rPr>
          <w:u w:val="single"/>
        </w:rPr>
        <w:t>Fahrenheit</w:t>
      </w:r>
      <w:r>
        <w:rPr>
          <w:u w:val="single"/>
        </w:rPr>
        <w:t xml:space="preserve"> </w:t>
      </w:r>
    </w:p>
    <w:p w:rsidR="00616299" w:rsidRDefault="00616299" w:rsidP="00214BC0">
      <w:pPr>
        <w:rPr>
          <w:b/>
        </w:rPr>
      </w:pPr>
      <w:r>
        <w:rPr>
          <w:noProof/>
        </w:rPr>
        <w:drawing>
          <wp:inline distT="0" distB="0" distL="0" distR="0" wp14:anchorId="0E1C31F1" wp14:editId="6AB49389">
            <wp:extent cx="4238625" cy="23145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6299" w:rsidRDefault="00616299" w:rsidP="00214BC0">
      <w:pPr>
        <w:rPr>
          <w:b/>
        </w:rPr>
      </w:pPr>
      <w:r>
        <w:rPr>
          <w:noProof/>
        </w:rPr>
        <w:drawing>
          <wp:inline distT="0" distB="0" distL="0" distR="0" wp14:anchorId="4644678F" wp14:editId="4945B8EF">
            <wp:extent cx="4238625" cy="25050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6299" w:rsidRDefault="00616299" w:rsidP="00214BC0">
      <w:pPr>
        <w:rPr>
          <w:b/>
        </w:rPr>
      </w:pPr>
      <w:r>
        <w:rPr>
          <w:noProof/>
        </w:rPr>
        <w:drawing>
          <wp:inline distT="0" distB="0" distL="0" distR="0" wp14:anchorId="6274CE95" wp14:editId="6D72BBBE">
            <wp:extent cx="4238625" cy="25146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7A48" w:rsidRPr="005B7A48" w:rsidRDefault="005B7A48" w:rsidP="00214BC0">
      <w:pPr>
        <w:rPr>
          <w:u w:val="single"/>
        </w:rPr>
      </w:pPr>
      <w:r>
        <w:rPr>
          <w:u w:val="single"/>
        </w:rPr>
        <w:lastRenderedPageBreak/>
        <w:t xml:space="preserve">900 </w:t>
      </w:r>
      <w:r w:rsidR="00B07851">
        <w:rPr>
          <w:u w:val="single"/>
        </w:rPr>
        <w:t>Fahrenheit</w:t>
      </w:r>
      <w:r>
        <w:rPr>
          <w:u w:val="single"/>
        </w:rPr>
        <w:t xml:space="preserve"> </w:t>
      </w:r>
    </w:p>
    <w:p w:rsidR="00616299" w:rsidRDefault="00616299" w:rsidP="00214BC0">
      <w:pPr>
        <w:rPr>
          <w:b/>
        </w:rPr>
      </w:pPr>
      <w:r>
        <w:rPr>
          <w:noProof/>
        </w:rPr>
        <w:drawing>
          <wp:inline distT="0" distB="0" distL="0" distR="0" wp14:anchorId="388DEB44" wp14:editId="5D3CD575">
            <wp:extent cx="4200525" cy="241935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6299" w:rsidRDefault="00616299" w:rsidP="00214BC0">
      <w:pPr>
        <w:rPr>
          <w:b/>
        </w:rPr>
      </w:pPr>
      <w:r>
        <w:rPr>
          <w:noProof/>
        </w:rPr>
        <w:drawing>
          <wp:inline distT="0" distB="0" distL="0" distR="0" wp14:anchorId="6775CA66" wp14:editId="0A2DAA10">
            <wp:extent cx="4200525" cy="25146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16299" w:rsidRDefault="00616299" w:rsidP="00214BC0">
      <w:pPr>
        <w:rPr>
          <w:b/>
        </w:rPr>
      </w:pPr>
      <w:r>
        <w:rPr>
          <w:noProof/>
        </w:rPr>
        <w:drawing>
          <wp:inline distT="0" distB="0" distL="0" distR="0" wp14:anchorId="69090703" wp14:editId="488DBD95">
            <wp:extent cx="4200525" cy="233362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7A48" w:rsidRPr="005B7A48" w:rsidRDefault="005B7A48" w:rsidP="00214BC0">
      <w:pPr>
        <w:rPr>
          <w:u w:val="single"/>
        </w:rPr>
      </w:pPr>
      <w:r>
        <w:rPr>
          <w:u w:val="single"/>
        </w:rPr>
        <w:lastRenderedPageBreak/>
        <w:t xml:space="preserve">1000 </w:t>
      </w:r>
      <w:r w:rsidR="00B07851">
        <w:rPr>
          <w:u w:val="single"/>
        </w:rPr>
        <w:t>Fahrenheit</w:t>
      </w:r>
      <w:r>
        <w:rPr>
          <w:u w:val="single"/>
        </w:rPr>
        <w:t xml:space="preserve"> </w:t>
      </w:r>
    </w:p>
    <w:p w:rsidR="00616299" w:rsidRDefault="00616299" w:rsidP="00214BC0">
      <w:pPr>
        <w:rPr>
          <w:b/>
        </w:rPr>
      </w:pPr>
      <w:r>
        <w:rPr>
          <w:noProof/>
        </w:rPr>
        <w:drawing>
          <wp:inline distT="0" distB="0" distL="0" distR="0" wp14:anchorId="66611BEF" wp14:editId="6E8AB16D">
            <wp:extent cx="4229100" cy="2352675"/>
            <wp:effectExtent l="0" t="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16299" w:rsidRDefault="00616299" w:rsidP="00214BC0">
      <w:pPr>
        <w:rPr>
          <w:b/>
        </w:rPr>
      </w:pPr>
      <w:r>
        <w:rPr>
          <w:noProof/>
        </w:rPr>
        <w:drawing>
          <wp:inline distT="0" distB="0" distL="0" distR="0" wp14:anchorId="14D36882" wp14:editId="4193D305">
            <wp:extent cx="4229100" cy="253365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6299" w:rsidRDefault="00616299" w:rsidP="00214BC0">
      <w:pPr>
        <w:rPr>
          <w:b/>
        </w:rPr>
      </w:pPr>
      <w:r>
        <w:rPr>
          <w:noProof/>
        </w:rPr>
        <w:drawing>
          <wp:inline distT="0" distB="0" distL="0" distR="0" wp14:anchorId="442F91A7" wp14:editId="6AF92362">
            <wp:extent cx="4229100" cy="246697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B7A48" w:rsidRPr="005B7A48" w:rsidRDefault="005B7A48" w:rsidP="00214BC0">
      <w:r>
        <w:rPr>
          <w:u w:val="single"/>
        </w:rPr>
        <w:lastRenderedPageBreak/>
        <w:t xml:space="preserve">Combined Micro-hardness Data </w:t>
      </w:r>
    </w:p>
    <w:p w:rsidR="00616299" w:rsidRDefault="00616299" w:rsidP="00214BC0">
      <w:pPr>
        <w:rPr>
          <w:b/>
        </w:rPr>
      </w:pPr>
      <w:r>
        <w:rPr>
          <w:b/>
          <w:noProof/>
        </w:rPr>
        <w:drawing>
          <wp:inline distT="0" distB="0" distL="0" distR="0" wp14:anchorId="37A28022">
            <wp:extent cx="6457950" cy="3629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2221" cy="3631425"/>
                    </a:xfrm>
                    <a:prstGeom prst="rect">
                      <a:avLst/>
                    </a:prstGeom>
                    <a:noFill/>
                  </pic:spPr>
                </pic:pic>
              </a:graphicData>
            </a:graphic>
          </wp:inline>
        </w:drawing>
      </w:r>
    </w:p>
    <w:p w:rsidR="00616299" w:rsidRDefault="00616299" w:rsidP="00214BC0">
      <w:pPr>
        <w:rPr>
          <w:b/>
        </w:rPr>
      </w:pPr>
    </w:p>
    <w:p w:rsidR="0064350E" w:rsidRPr="00E30744" w:rsidRDefault="0064350E" w:rsidP="00214BC0">
      <w:pPr>
        <w:rPr>
          <w:b/>
        </w:rPr>
      </w:pPr>
    </w:p>
    <w:sectPr w:rsidR="0064350E" w:rsidRPr="00E30744" w:rsidSect="00E30744">
      <w:footerReference w:type="defaul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04D" w:rsidRDefault="00CA704D" w:rsidP="00E81D06">
      <w:pPr>
        <w:spacing w:after="0" w:line="240" w:lineRule="auto"/>
      </w:pPr>
      <w:r>
        <w:separator/>
      </w:r>
    </w:p>
  </w:endnote>
  <w:endnote w:type="continuationSeparator" w:id="0">
    <w:p w:rsidR="00CA704D" w:rsidRDefault="00CA704D" w:rsidP="00E81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22430"/>
      <w:docPartObj>
        <w:docPartGallery w:val="Page Numbers (Bottom of Page)"/>
        <w:docPartUnique/>
      </w:docPartObj>
    </w:sdtPr>
    <w:sdtEndPr>
      <w:rPr>
        <w:color w:val="808080" w:themeColor="background1" w:themeShade="80"/>
        <w:spacing w:val="60"/>
      </w:rPr>
    </w:sdtEndPr>
    <w:sdtContent>
      <w:p w:rsidR="00E90069" w:rsidRDefault="00E9006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3040B" w:rsidRPr="0023040B">
          <w:rPr>
            <w:b/>
            <w:bCs/>
            <w:noProof/>
          </w:rPr>
          <w:t>1</w:t>
        </w:r>
        <w:r>
          <w:rPr>
            <w:b/>
            <w:bCs/>
            <w:noProof/>
          </w:rPr>
          <w:fldChar w:fldCharType="end"/>
        </w:r>
        <w:r>
          <w:rPr>
            <w:b/>
            <w:bCs/>
          </w:rPr>
          <w:t xml:space="preserve"> | </w:t>
        </w:r>
        <w:r>
          <w:rPr>
            <w:color w:val="808080" w:themeColor="background1" w:themeShade="80"/>
            <w:spacing w:val="60"/>
          </w:rPr>
          <w:t>Page</w:t>
        </w:r>
      </w:p>
    </w:sdtContent>
  </w:sdt>
  <w:p w:rsidR="00E90069" w:rsidRDefault="00E900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04D" w:rsidRDefault="00CA704D" w:rsidP="00E81D06">
      <w:pPr>
        <w:spacing w:after="0" w:line="240" w:lineRule="auto"/>
      </w:pPr>
      <w:r>
        <w:separator/>
      </w:r>
    </w:p>
  </w:footnote>
  <w:footnote w:type="continuationSeparator" w:id="0">
    <w:p w:rsidR="00CA704D" w:rsidRDefault="00CA704D" w:rsidP="00E81D06">
      <w:pPr>
        <w:spacing w:after="0" w:line="240" w:lineRule="auto"/>
      </w:pPr>
      <w:r>
        <w:continuationSeparator/>
      </w:r>
    </w:p>
  </w:footnote>
  <w:footnote w:id="1">
    <w:p w:rsidR="00E90069" w:rsidRDefault="00E90069">
      <w:pPr>
        <w:pStyle w:val="FootnoteText"/>
      </w:pPr>
      <w:r>
        <w:rPr>
          <w:rStyle w:val="FootnoteReference"/>
        </w:rPr>
        <w:footnoteRef/>
      </w:r>
      <w:r>
        <w:t xml:space="preserve"> This is the material specification designation as indicated by the shipping documents. AMS – Aeronautical Materials Specification </w:t>
      </w:r>
    </w:p>
  </w:footnote>
  <w:footnote w:id="2">
    <w:p w:rsidR="00E90069" w:rsidRDefault="00E90069">
      <w:pPr>
        <w:pStyle w:val="FootnoteText"/>
      </w:pPr>
      <w:r>
        <w:rPr>
          <w:rStyle w:val="FootnoteReference"/>
        </w:rPr>
        <w:footnoteRef/>
      </w:r>
      <w:r>
        <w:t xml:space="preserve"> Thickness of the metal plate varied slightly, and was generally equal to 0.25”+/-0.125”. </w:t>
      </w:r>
    </w:p>
  </w:footnote>
  <w:footnote w:id="3">
    <w:p w:rsidR="00E90069" w:rsidRDefault="00E90069">
      <w:pPr>
        <w:pStyle w:val="FootnoteText"/>
      </w:pPr>
      <w:r>
        <w:rPr>
          <w:rStyle w:val="FootnoteReference"/>
        </w:rPr>
        <w:footnoteRef/>
      </w:r>
      <w:r>
        <w:t xml:space="preserve"> Duration of time the samples were immersed in the etchant tended to vary, particularly so once the etchant was applied to the welded and heat treated samples. </w:t>
      </w:r>
    </w:p>
  </w:footnote>
  <w:footnote w:id="4">
    <w:p w:rsidR="00E90069" w:rsidRDefault="00E90069">
      <w:pPr>
        <w:pStyle w:val="FootnoteText"/>
      </w:pPr>
      <w:r>
        <w:rPr>
          <w:rStyle w:val="FootnoteReference"/>
        </w:rPr>
        <w:footnoteRef/>
      </w:r>
      <w:r>
        <w:t xml:space="preserve"> Unfortunately, a comparative heat treatment was not performed on the parent material used in this research project. This statement relies on the information provided by the borrowed graph. For the purpose of verification, a similar heat treatment should be performed on the parent material.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62E9"/>
    <w:multiLevelType w:val="hybridMultilevel"/>
    <w:tmpl w:val="D7046F62"/>
    <w:lvl w:ilvl="0" w:tplc="88220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71537D4"/>
    <w:multiLevelType w:val="hybridMultilevel"/>
    <w:tmpl w:val="C5D2B1F4"/>
    <w:lvl w:ilvl="0" w:tplc="0C1E163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7722E32"/>
    <w:multiLevelType w:val="hybridMultilevel"/>
    <w:tmpl w:val="0E72ACE2"/>
    <w:lvl w:ilvl="0" w:tplc="A822A9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8C3058"/>
    <w:multiLevelType w:val="hybridMultilevel"/>
    <w:tmpl w:val="C1440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DC1846"/>
    <w:multiLevelType w:val="hybridMultilevel"/>
    <w:tmpl w:val="69B25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BDC"/>
    <w:rsid w:val="000137E8"/>
    <w:rsid w:val="00030BEA"/>
    <w:rsid w:val="00064D17"/>
    <w:rsid w:val="00096834"/>
    <w:rsid w:val="0010087B"/>
    <w:rsid w:val="00140034"/>
    <w:rsid w:val="00144362"/>
    <w:rsid w:val="00171973"/>
    <w:rsid w:val="001A5CA1"/>
    <w:rsid w:val="001B035B"/>
    <w:rsid w:val="001B3828"/>
    <w:rsid w:val="001C3D1E"/>
    <w:rsid w:val="001D4057"/>
    <w:rsid w:val="00200622"/>
    <w:rsid w:val="00207975"/>
    <w:rsid w:val="002111F0"/>
    <w:rsid w:val="00213018"/>
    <w:rsid w:val="00214BC0"/>
    <w:rsid w:val="002174C9"/>
    <w:rsid w:val="0023040B"/>
    <w:rsid w:val="002A3A78"/>
    <w:rsid w:val="002B0052"/>
    <w:rsid w:val="002F5691"/>
    <w:rsid w:val="00306CB1"/>
    <w:rsid w:val="003125D3"/>
    <w:rsid w:val="00313493"/>
    <w:rsid w:val="00373358"/>
    <w:rsid w:val="003864D6"/>
    <w:rsid w:val="003C23B5"/>
    <w:rsid w:val="003D38F7"/>
    <w:rsid w:val="003D7283"/>
    <w:rsid w:val="003D7EC1"/>
    <w:rsid w:val="003E7287"/>
    <w:rsid w:val="00406932"/>
    <w:rsid w:val="00457ABB"/>
    <w:rsid w:val="00473F4A"/>
    <w:rsid w:val="00486AAB"/>
    <w:rsid w:val="004A3771"/>
    <w:rsid w:val="004C6D44"/>
    <w:rsid w:val="005100F5"/>
    <w:rsid w:val="005110E7"/>
    <w:rsid w:val="00530C9A"/>
    <w:rsid w:val="0054273E"/>
    <w:rsid w:val="00545C4A"/>
    <w:rsid w:val="0055355B"/>
    <w:rsid w:val="005805E6"/>
    <w:rsid w:val="0059664C"/>
    <w:rsid w:val="005B7A48"/>
    <w:rsid w:val="005C5185"/>
    <w:rsid w:val="005C5672"/>
    <w:rsid w:val="005F3525"/>
    <w:rsid w:val="00601EC2"/>
    <w:rsid w:val="00603498"/>
    <w:rsid w:val="00605169"/>
    <w:rsid w:val="00612CAD"/>
    <w:rsid w:val="00616299"/>
    <w:rsid w:val="006249A2"/>
    <w:rsid w:val="006319BB"/>
    <w:rsid w:val="0064350E"/>
    <w:rsid w:val="006703C4"/>
    <w:rsid w:val="00671B0A"/>
    <w:rsid w:val="00677F1B"/>
    <w:rsid w:val="006A03A6"/>
    <w:rsid w:val="006B37C3"/>
    <w:rsid w:val="00736135"/>
    <w:rsid w:val="00750A5E"/>
    <w:rsid w:val="0076702C"/>
    <w:rsid w:val="0077222E"/>
    <w:rsid w:val="007B343A"/>
    <w:rsid w:val="00803BF7"/>
    <w:rsid w:val="0082374B"/>
    <w:rsid w:val="00830965"/>
    <w:rsid w:val="00855C7F"/>
    <w:rsid w:val="00865F92"/>
    <w:rsid w:val="0088103B"/>
    <w:rsid w:val="008A023E"/>
    <w:rsid w:val="008B223F"/>
    <w:rsid w:val="008B263E"/>
    <w:rsid w:val="008F1663"/>
    <w:rsid w:val="008F5161"/>
    <w:rsid w:val="008F75B3"/>
    <w:rsid w:val="00904FDB"/>
    <w:rsid w:val="00930B04"/>
    <w:rsid w:val="00945645"/>
    <w:rsid w:val="00951E9B"/>
    <w:rsid w:val="009559D6"/>
    <w:rsid w:val="009C7AD4"/>
    <w:rsid w:val="009D6B65"/>
    <w:rsid w:val="009E5BCF"/>
    <w:rsid w:val="009E7551"/>
    <w:rsid w:val="009E7793"/>
    <w:rsid w:val="00A0778E"/>
    <w:rsid w:val="00A173C6"/>
    <w:rsid w:val="00A219E6"/>
    <w:rsid w:val="00A4723B"/>
    <w:rsid w:val="00A55637"/>
    <w:rsid w:val="00A579FC"/>
    <w:rsid w:val="00A71FFA"/>
    <w:rsid w:val="00A82107"/>
    <w:rsid w:val="00A85D2D"/>
    <w:rsid w:val="00A90028"/>
    <w:rsid w:val="00AB0D89"/>
    <w:rsid w:val="00AF68F2"/>
    <w:rsid w:val="00B07851"/>
    <w:rsid w:val="00B15BDC"/>
    <w:rsid w:val="00B20E33"/>
    <w:rsid w:val="00B37E17"/>
    <w:rsid w:val="00B427D1"/>
    <w:rsid w:val="00B4447C"/>
    <w:rsid w:val="00B72F9D"/>
    <w:rsid w:val="00B777A3"/>
    <w:rsid w:val="00BD1F8A"/>
    <w:rsid w:val="00BE59CA"/>
    <w:rsid w:val="00C04A42"/>
    <w:rsid w:val="00C62330"/>
    <w:rsid w:val="00C81757"/>
    <w:rsid w:val="00CA704D"/>
    <w:rsid w:val="00CC36D9"/>
    <w:rsid w:val="00CD6429"/>
    <w:rsid w:val="00D23DD5"/>
    <w:rsid w:val="00D42127"/>
    <w:rsid w:val="00D739A7"/>
    <w:rsid w:val="00D931E2"/>
    <w:rsid w:val="00DB503B"/>
    <w:rsid w:val="00DC195C"/>
    <w:rsid w:val="00DD2449"/>
    <w:rsid w:val="00DD65B5"/>
    <w:rsid w:val="00DE2F1B"/>
    <w:rsid w:val="00E01A3D"/>
    <w:rsid w:val="00E03E20"/>
    <w:rsid w:val="00E30744"/>
    <w:rsid w:val="00E34A5E"/>
    <w:rsid w:val="00E56024"/>
    <w:rsid w:val="00E81D06"/>
    <w:rsid w:val="00E845B1"/>
    <w:rsid w:val="00E90069"/>
    <w:rsid w:val="00EA2E2C"/>
    <w:rsid w:val="00ED5D12"/>
    <w:rsid w:val="00EE4BC5"/>
    <w:rsid w:val="00EF3DDE"/>
    <w:rsid w:val="00EF5CAF"/>
    <w:rsid w:val="00F00686"/>
    <w:rsid w:val="00F4557D"/>
    <w:rsid w:val="00F77D3A"/>
    <w:rsid w:val="00F97486"/>
    <w:rsid w:val="00FA1BF9"/>
    <w:rsid w:val="00FB6FA0"/>
    <w:rsid w:val="00FE6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9BB"/>
    <w:pPr>
      <w:ind w:left="720"/>
      <w:contextualSpacing/>
    </w:pPr>
  </w:style>
  <w:style w:type="paragraph" w:styleId="FootnoteText">
    <w:name w:val="footnote text"/>
    <w:basedOn w:val="Normal"/>
    <w:link w:val="FootnoteTextChar"/>
    <w:uiPriority w:val="99"/>
    <w:semiHidden/>
    <w:unhideWhenUsed/>
    <w:rsid w:val="00E81D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1D06"/>
    <w:rPr>
      <w:sz w:val="20"/>
      <w:szCs w:val="20"/>
    </w:rPr>
  </w:style>
  <w:style w:type="character" w:styleId="FootnoteReference">
    <w:name w:val="footnote reference"/>
    <w:basedOn w:val="DefaultParagraphFont"/>
    <w:uiPriority w:val="99"/>
    <w:semiHidden/>
    <w:unhideWhenUsed/>
    <w:rsid w:val="00E81D06"/>
    <w:rPr>
      <w:vertAlign w:val="superscript"/>
    </w:rPr>
  </w:style>
  <w:style w:type="table" w:styleId="TableGrid">
    <w:name w:val="Table Grid"/>
    <w:basedOn w:val="TableNormal"/>
    <w:uiPriority w:val="59"/>
    <w:rsid w:val="00B42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2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F9D"/>
    <w:rPr>
      <w:rFonts w:ascii="Tahoma" w:hAnsi="Tahoma" w:cs="Tahoma"/>
      <w:sz w:val="16"/>
      <w:szCs w:val="16"/>
    </w:rPr>
  </w:style>
  <w:style w:type="paragraph" w:styleId="Caption">
    <w:name w:val="caption"/>
    <w:basedOn w:val="Normal"/>
    <w:next w:val="Normal"/>
    <w:uiPriority w:val="35"/>
    <w:unhideWhenUsed/>
    <w:qFormat/>
    <w:rsid w:val="00B72F9D"/>
    <w:pPr>
      <w:spacing w:line="240" w:lineRule="auto"/>
    </w:pPr>
    <w:rPr>
      <w:b/>
      <w:bCs/>
      <w:color w:val="4F81BD" w:themeColor="accent1"/>
      <w:sz w:val="18"/>
      <w:szCs w:val="18"/>
    </w:rPr>
  </w:style>
  <w:style w:type="paragraph" w:styleId="NoSpacing">
    <w:name w:val="No Spacing"/>
    <w:link w:val="NoSpacingChar"/>
    <w:uiPriority w:val="1"/>
    <w:qFormat/>
    <w:rsid w:val="00E3074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30744"/>
    <w:rPr>
      <w:rFonts w:eastAsiaTheme="minorEastAsia"/>
      <w:lang w:eastAsia="ja-JP"/>
    </w:rPr>
  </w:style>
  <w:style w:type="character" w:styleId="Emphasis">
    <w:name w:val="Emphasis"/>
    <w:basedOn w:val="DefaultParagraphFont"/>
    <w:uiPriority w:val="20"/>
    <w:qFormat/>
    <w:rsid w:val="00E30744"/>
    <w:rPr>
      <w:i/>
      <w:iCs/>
    </w:rPr>
  </w:style>
  <w:style w:type="paragraph" w:styleId="Header">
    <w:name w:val="header"/>
    <w:basedOn w:val="Normal"/>
    <w:link w:val="HeaderChar"/>
    <w:uiPriority w:val="99"/>
    <w:unhideWhenUsed/>
    <w:rsid w:val="00A57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9FC"/>
  </w:style>
  <w:style w:type="paragraph" w:styleId="Footer">
    <w:name w:val="footer"/>
    <w:basedOn w:val="Normal"/>
    <w:link w:val="FooterChar"/>
    <w:uiPriority w:val="99"/>
    <w:unhideWhenUsed/>
    <w:rsid w:val="00A57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9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9BB"/>
    <w:pPr>
      <w:ind w:left="720"/>
      <w:contextualSpacing/>
    </w:pPr>
  </w:style>
  <w:style w:type="paragraph" w:styleId="FootnoteText">
    <w:name w:val="footnote text"/>
    <w:basedOn w:val="Normal"/>
    <w:link w:val="FootnoteTextChar"/>
    <w:uiPriority w:val="99"/>
    <w:semiHidden/>
    <w:unhideWhenUsed/>
    <w:rsid w:val="00E81D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1D06"/>
    <w:rPr>
      <w:sz w:val="20"/>
      <w:szCs w:val="20"/>
    </w:rPr>
  </w:style>
  <w:style w:type="character" w:styleId="FootnoteReference">
    <w:name w:val="footnote reference"/>
    <w:basedOn w:val="DefaultParagraphFont"/>
    <w:uiPriority w:val="99"/>
    <w:semiHidden/>
    <w:unhideWhenUsed/>
    <w:rsid w:val="00E81D06"/>
    <w:rPr>
      <w:vertAlign w:val="superscript"/>
    </w:rPr>
  </w:style>
  <w:style w:type="table" w:styleId="TableGrid">
    <w:name w:val="Table Grid"/>
    <w:basedOn w:val="TableNormal"/>
    <w:uiPriority w:val="59"/>
    <w:rsid w:val="00B42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2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F9D"/>
    <w:rPr>
      <w:rFonts w:ascii="Tahoma" w:hAnsi="Tahoma" w:cs="Tahoma"/>
      <w:sz w:val="16"/>
      <w:szCs w:val="16"/>
    </w:rPr>
  </w:style>
  <w:style w:type="paragraph" w:styleId="Caption">
    <w:name w:val="caption"/>
    <w:basedOn w:val="Normal"/>
    <w:next w:val="Normal"/>
    <w:uiPriority w:val="35"/>
    <w:unhideWhenUsed/>
    <w:qFormat/>
    <w:rsid w:val="00B72F9D"/>
    <w:pPr>
      <w:spacing w:line="240" w:lineRule="auto"/>
    </w:pPr>
    <w:rPr>
      <w:b/>
      <w:bCs/>
      <w:color w:val="4F81BD" w:themeColor="accent1"/>
      <w:sz w:val="18"/>
      <w:szCs w:val="18"/>
    </w:rPr>
  </w:style>
  <w:style w:type="paragraph" w:styleId="NoSpacing">
    <w:name w:val="No Spacing"/>
    <w:link w:val="NoSpacingChar"/>
    <w:uiPriority w:val="1"/>
    <w:qFormat/>
    <w:rsid w:val="00E3074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30744"/>
    <w:rPr>
      <w:rFonts w:eastAsiaTheme="minorEastAsia"/>
      <w:lang w:eastAsia="ja-JP"/>
    </w:rPr>
  </w:style>
  <w:style w:type="character" w:styleId="Emphasis">
    <w:name w:val="Emphasis"/>
    <w:basedOn w:val="DefaultParagraphFont"/>
    <w:uiPriority w:val="20"/>
    <w:qFormat/>
    <w:rsid w:val="00E30744"/>
    <w:rPr>
      <w:i/>
      <w:iCs/>
    </w:rPr>
  </w:style>
  <w:style w:type="paragraph" w:styleId="Header">
    <w:name w:val="header"/>
    <w:basedOn w:val="Normal"/>
    <w:link w:val="HeaderChar"/>
    <w:uiPriority w:val="99"/>
    <w:unhideWhenUsed/>
    <w:rsid w:val="00A57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9FC"/>
  </w:style>
  <w:style w:type="paragraph" w:styleId="Footer">
    <w:name w:val="footer"/>
    <w:basedOn w:val="Normal"/>
    <w:link w:val="FooterChar"/>
    <w:uiPriority w:val="99"/>
    <w:unhideWhenUsed/>
    <w:rsid w:val="00A57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85917">
      <w:bodyDiv w:val="1"/>
      <w:marLeft w:val="0"/>
      <w:marRight w:val="0"/>
      <w:marTop w:val="0"/>
      <w:marBottom w:val="0"/>
      <w:divBdr>
        <w:top w:val="none" w:sz="0" w:space="0" w:color="auto"/>
        <w:left w:val="none" w:sz="0" w:space="0" w:color="auto"/>
        <w:bottom w:val="none" w:sz="0" w:space="0" w:color="auto"/>
        <w:right w:val="none" w:sz="0" w:space="0" w:color="auto"/>
      </w:divBdr>
    </w:div>
    <w:div w:id="730882940">
      <w:bodyDiv w:val="1"/>
      <w:marLeft w:val="0"/>
      <w:marRight w:val="0"/>
      <w:marTop w:val="0"/>
      <w:marBottom w:val="0"/>
      <w:divBdr>
        <w:top w:val="none" w:sz="0" w:space="0" w:color="auto"/>
        <w:left w:val="none" w:sz="0" w:space="0" w:color="auto"/>
        <w:bottom w:val="none" w:sz="0" w:space="0" w:color="auto"/>
        <w:right w:val="none" w:sz="0" w:space="0" w:color="auto"/>
      </w:divBdr>
    </w:div>
    <w:div w:id="1410350899">
      <w:bodyDiv w:val="1"/>
      <w:marLeft w:val="0"/>
      <w:marRight w:val="0"/>
      <w:marTop w:val="0"/>
      <w:marBottom w:val="0"/>
      <w:divBdr>
        <w:top w:val="none" w:sz="0" w:space="0" w:color="auto"/>
        <w:left w:val="none" w:sz="0" w:space="0" w:color="auto"/>
        <w:bottom w:val="none" w:sz="0" w:space="0" w:color="auto"/>
        <w:right w:val="none" w:sz="0" w:space="0" w:color="auto"/>
      </w:divBdr>
    </w:div>
    <w:div w:id="148257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chart" Target="charts/chart1.xml"/><Relationship Id="rId26"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chart" Target="charts/chart7.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image" Target="media/image6.tif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chart" Target="charts/chart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post-weld%20heat%20treatmen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8936\Documents\Maraging%20Steel%20Welding%20Research\spreadsheets\micro%20hardne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800 F </c:v>
          </c:tx>
          <c:spPr>
            <a:ln w="28575">
              <a:noFill/>
            </a:ln>
          </c:spPr>
          <c:trendline>
            <c:spPr>
              <a:ln w="19050">
                <a:solidFill>
                  <a:schemeClr val="accent1"/>
                </a:solidFill>
              </a:ln>
            </c:spPr>
            <c:trendlineType val="poly"/>
            <c:order val="2"/>
            <c:dispRSqr val="0"/>
            <c:dispEq val="0"/>
          </c:trendline>
          <c:xVal>
            <c:numRef>
              <c:f>Sheet3!$A$2:$A$4</c:f>
              <c:numCache>
                <c:formatCode>General</c:formatCode>
                <c:ptCount val="3"/>
                <c:pt idx="0">
                  <c:v>1</c:v>
                </c:pt>
                <c:pt idx="1">
                  <c:v>5</c:v>
                </c:pt>
                <c:pt idx="2">
                  <c:v>15</c:v>
                </c:pt>
              </c:numCache>
            </c:numRef>
          </c:xVal>
          <c:yVal>
            <c:numRef>
              <c:f>Sheet3!$B$2:$B$4</c:f>
              <c:numCache>
                <c:formatCode>General</c:formatCode>
                <c:ptCount val="3"/>
                <c:pt idx="0">
                  <c:v>416.09</c:v>
                </c:pt>
                <c:pt idx="1">
                  <c:v>500.67</c:v>
                </c:pt>
                <c:pt idx="2">
                  <c:v>549.6</c:v>
                </c:pt>
              </c:numCache>
            </c:numRef>
          </c:yVal>
          <c:smooth val="0"/>
        </c:ser>
        <c:ser>
          <c:idx val="1"/>
          <c:order val="1"/>
          <c:tx>
            <c:v>900 F </c:v>
          </c:tx>
          <c:spPr>
            <a:ln w="28575">
              <a:noFill/>
            </a:ln>
          </c:spPr>
          <c:trendline>
            <c:spPr>
              <a:ln w="19050">
                <a:solidFill>
                  <a:schemeClr val="accent2"/>
                </a:solidFill>
              </a:ln>
            </c:spPr>
            <c:trendlineType val="poly"/>
            <c:order val="2"/>
            <c:dispRSqr val="0"/>
            <c:dispEq val="0"/>
          </c:trendline>
          <c:xVal>
            <c:numRef>
              <c:f>Sheet4!$A$2:$A$4</c:f>
              <c:numCache>
                <c:formatCode>General</c:formatCode>
                <c:ptCount val="3"/>
                <c:pt idx="0">
                  <c:v>1</c:v>
                </c:pt>
                <c:pt idx="1">
                  <c:v>5</c:v>
                </c:pt>
                <c:pt idx="2">
                  <c:v>15</c:v>
                </c:pt>
              </c:numCache>
            </c:numRef>
          </c:xVal>
          <c:yVal>
            <c:numRef>
              <c:f>Sheet4!$B$2:$B$4</c:f>
              <c:numCache>
                <c:formatCode>General</c:formatCode>
                <c:ptCount val="3"/>
                <c:pt idx="0">
                  <c:v>497.27</c:v>
                </c:pt>
                <c:pt idx="1">
                  <c:v>544.87</c:v>
                </c:pt>
                <c:pt idx="2">
                  <c:v>572.63</c:v>
                </c:pt>
              </c:numCache>
            </c:numRef>
          </c:yVal>
          <c:smooth val="0"/>
        </c:ser>
        <c:ser>
          <c:idx val="2"/>
          <c:order val="2"/>
          <c:tx>
            <c:v>1000 F</c:v>
          </c:tx>
          <c:spPr>
            <a:ln w="28575">
              <a:noFill/>
            </a:ln>
          </c:spPr>
          <c:marker>
            <c:spPr>
              <a:solidFill>
                <a:srgbClr val="00B050"/>
              </a:solidFill>
            </c:spPr>
          </c:marker>
          <c:trendline>
            <c:spPr>
              <a:ln w="19050">
                <a:solidFill>
                  <a:srgbClr val="00B050"/>
                </a:solidFill>
              </a:ln>
            </c:spPr>
            <c:trendlineType val="poly"/>
            <c:order val="2"/>
            <c:dispRSqr val="0"/>
            <c:dispEq val="0"/>
          </c:trendline>
          <c:xVal>
            <c:numRef>
              <c:f>Sheet5!$A$2:$A$4</c:f>
              <c:numCache>
                <c:formatCode>General</c:formatCode>
                <c:ptCount val="3"/>
                <c:pt idx="0">
                  <c:v>1</c:v>
                </c:pt>
                <c:pt idx="1">
                  <c:v>5</c:v>
                </c:pt>
                <c:pt idx="2">
                  <c:v>15</c:v>
                </c:pt>
              </c:numCache>
            </c:numRef>
          </c:xVal>
          <c:yVal>
            <c:numRef>
              <c:f>Sheet5!$B$2:$B$4</c:f>
              <c:numCache>
                <c:formatCode>General</c:formatCode>
                <c:ptCount val="3"/>
                <c:pt idx="0">
                  <c:v>523.84</c:v>
                </c:pt>
                <c:pt idx="1">
                  <c:v>528.02</c:v>
                </c:pt>
                <c:pt idx="2">
                  <c:v>507.25</c:v>
                </c:pt>
              </c:numCache>
            </c:numRef>
          </c:yVal>
          <c:smooth val="0"/>
        </c:ser>
        <c:dLbls>
          <c:showLegendKey val="0"/>
          <c:showVal val="0"/>
          <c:showCatName val="0"/>
          <c:showSerName val="0"/>
          <c:showPercent val="0"/>
          <c:showBubbleSize val="0"/>
        </c:dLbls>
        <c:axId val="299209088"/>
        <c:axId val="299211008"/>
      </c:scatterChart>
      <c:valAx>
        <c:axId val="299209088"/>
        <c:scaling>
          <c:logBase val="10"/>
          <c:orientation val="minMax"/>
          <c:max val="25"/>
        </c:scaling>
        <c:delete val="0"/>
        <c:axPos val="b"/>
        <c:title>
          <c:tx>
            <c:rich>
              <a:bodyPr/>
              <a:lstStyle/>
              <a:p>
                <a:pPr>
                  <a:defRPr/>
                </a:pPr>
                <a:r>
                  <a:rPr lang="en-US"/>
                  <a:t>Time (h) </a:t>
                </a:r>
              </a:p>
            </c:rich>
          </c:tx>
          <c:overlay val="0"/>
        </c:title>
        <c:numFmt formatCode="General" sourceLinked="1"/>
        <c:majorTickMark val="out"/>
        <c:minorTickMark val="none"/>
        <c:tickLblPos val="nextTo"/>
        <c:crossAx val="299211008"/>
        <c:crosses val="autoZero"/>
        <c:crossBetween val="midCat"/>
      </c:valAx>
      <c:valAx>
        <c:axId val="299211008"/>
        <c:scaling>
          <c:orientation val="minMax"/>
          <c:min val="400"/>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299209088"/>
        <c:crosses val="autoZero"/>
        <c:crossBetween val="midCat"/>
      </c:valAx>
      <c:spPr>
        <a:noFill/>
      </c:spPr>
    </c:plotArea>
    <c:legend>
      <c:legendPos val="r"/>
      <c:legendEntry>
        <c:idx val="3"/>
        <c:delete val="1"/>
      </c:legendEntry>
      <c:legendEntry>
        <c:idx val="4"/>
        <c:delete val="1"/>
      </c:legendEntry>
      <c:legendEntry>
        <c:idx val="5"/>
        <c:delete val="1"/>
      </c:legendEntry>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Treated Sample F </a:t>
            </a:r>
          </a:p>
        </c:rich>
      </c:tx>
      <c:overlay val="0"/>
    </c:title>
    <c:autoTitleDeleted val="0"/>
    <c:plotArea>
      <c:layout/>
      <c:scatterChart>
        <c:scatterStyle val="lineMarker"/>
        <c:varyColors val="0"/>
        <c:ser>
          <c:idx val="0"/>
          <c:order val="0"/>
          <c:spPr>
            <a:ln w="28575">
              <a:noFill/>
            </a:ln>
          </c:spPr>
          <c:xVal>
            <c:numRef>
              <c:f>Sheet8!$D$10:$D$42</c:f>
              <c:numCache>
                <c:formatCode>General</c:formatCode>
                <c:ptCount val="33"/>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numCache>
            </c:numRef>
          </c:xVal>
          <c:yVal>
            <c:numRef>
              <c:f>Sheet8!$C$10:$C$42</c:f>
              <c:numCache>
                <c:formatCode>General</c:formatCode>
                <c:ptCount val="33"/>
                <c:pt idx="0">
                  <c:v>529.29999999999995</c:v>
                </c:pt>
                <c:pt idx="1">
                  <c:v>608</c:v>
                </c:pt>
                <c:pt idx="2">
                  <c:v>589.70000000000005</c:v>
                </c:pt>
                <c:pt idx="3">
                  <c:v>582.4</c:v>
                </c:pt>
                <c:pt idx="4">
                  <c:v>575.1</c:v>
                </c:pt>
                <c:pt idx="5">
                  <c:v>572.29999999999995</c:v>
                </c:pt>
                <c:pt idx="6">
                  <c:v>561.1</c:v>
                </c:pt>
                <c:pt idx="7">
                  <c:v>568</c:v>
                </c:pt>
                <c:pt idx="8">
                  <c:v>566.6</c:v>
                </c:pt>
                <c:pt idx="9">
                  <c:v>556.9</c:v>
                </c:pt>
                <c:pt idx="10">
                  <c:v>558.29999999999995</c:v>
                </c:pt>
                <c:pt idx="11">
                  <c:v>592.70000000000005</c:v>
                </c:pt>
                <c:pt idx="12">
                  <c:v>569.4</c:v>
                </c:pt>
                <c:pt idx="13">
                  <c:v>612.70000000000005</c:v>
                </c:pt>
                <c:pt idx="14">
                  <c:v>600.29999999999995</c:v>
                </c:pt>
                <c:pt idx="15">
                  <c:v>558.29999999999995</c:v>
                </c:pt>
                <c:pt idx="16">
                  <c:v>562.4</c:v>
                </c:pt>
                <c:pt idx="17">
                  <c:v>575.1</c:v>
                </c:pt>
                <c:pt idx="18">
                  <c:v>579.5</c:v>
                </c:pt>
                <c:pt idx="19">
                  <c:v>615.79999999999995</c:v>
                </c:pt>
                <c:pt idx="20">
                  <c:v>566.6</c:v>
                </c:pt>
                <c:pt idx="21">
                  <c:v>546.20000000000005</c:v>
                </c:pt>
                <c:pt idx="22">
                  <c:v>598.79999999999995</c:v>
                </c:pt>
                <c:pt idx="23">
                  <c:v>608</c:v>
                </c:pt>
                <c:pt idx="24">
                  <c:v>562.4</c:v>
                </c:pt>
                <c:pt idx="25">
                  <c:v>547.5</c:v>
                </c:pt>
                <c:pt idx="26">
                  <c:v>570.9</c:v>
                </c:pt>
                <c:pt idx="27">
                  <c:v>537</c:v>
                </c:pt>
                <c:pt idx="28">
                  <c:v>594.20000000000005</c:v>
                </c:pt>
                <c:pt idx="29">
                  <c:v>582.4</c:v>
                </c:pt>
                <c:pt idx="30">
                  <c:v>552.9</c:v>
                </c:pt>
                <c:pt idx="31">
                  <c:v>583.79999999999995</c:v>
                </c:pt>
                <c:pt idx="32">
                  <c:v>512.1</c:v>
                </c:pt>
              </c:numCache>
            </c:numRef>
          </c:yVal>
          <c:smooth val="0"/>
        </c:ser>
        <c:dLbls>
          <c:showLegendKey val="0"/>
          <c:showVal val="0"/>
          <c:showCatName val="0"/>
          <c:showSerName val="0"/>
          <c:showPercent val="0"/>
          <c:showBubbleSize val="0"/>
        </c:dLbls>
        <c:axId val="301028096"/>
        <c:axId val="301030016"/>
      </c:scatterChart>
      <c:valAx>
        <c:axId val="301028096"/>
        <c:scaling>
          <c:orientation val="minMax"/>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301030016"/>
        <c:crosses val="autoZero"/>
        <c:crossBetween val="midCat"/>
      </c:valAx>
      <c:valAx>
        <c:axId val="301030016"/>
        <c:scaling>
          <c:orientation val="minMax"/>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301028096"/>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a:t>
            </a:r>
            <a:r>
              <a:rPr lang="en-US" baseline="0"/>
              <a:t> Treated Sample G </a:t>
            </a:r>
          </a:p>
        </c:rich>
      </c:tx>
      <c:overlay val="0"/>
    </c:title>
    <c:autoTitleDeleted val="0"/>
    <c:plotArea>
      <c:layout/>
      <c:scatterChart>
        <c:scatterStyle val="lineMarker"/>
        <c:varyColors val="0"/>
        <c:ser>
          <c:idx val="0"/>
          <c:order val="0"/>
          <c:spPr>
            <a:ln w="28575">
              <a:noFill/>
            </a:ln>
          </c:spPr>
          <c:xVal>
            <c:numRef>
              <c:f>Sheet9!$D$10:$D$43</c:f>
              <c:numCache>
                <c:formatCode>General</c:formatCode>
                <c:ptCount val="34"/>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pt idx="33">
                  <c:v>0.90000000000000047</c:v>
                </c:pt>
              </c:numCache>
            </c:numRef>
          </c:xVal>
          <c:yVal>
            <c:numRef>
              <c:f>Sheet9!$C$10:$C$43</c:f>
              <c:numCache>
                <c:formatCode>General</c:formatCode>
                <c:ptCount val="34"/>
                <c:pt idx="0">
                  <c:v>528.1</c:v>
                </c:pt>
                <c:pt idx="1">
                  <c:v>521.79999999999995</c:v>
                </c:pt>
                <c:pt idx="2">
                  <c:v>546.20000000000005</c:v>
                </c:pt>
                <c:pt idx="3">
                  <c:v>570.9</c:v>
                </c:pt>
                <c:pt idx="4">
                  <c:v>507.3</c:v>
                </c:pt>
                <c:pt idx="5">
                  <c:v>546.20000000000005</c:v>
                </c:pt>
                <c:pt idx="6">
                  <c:v>516.9</c:v>
                </c:pt>
                <c:pt idx="7">
                  <c:v>542.20000000000005</c:v>
                </c:pt>
                <c:pt idx="8">
                  <c:v>529.29999999999995</c:v>
                </c:pt>
                <c:pt idx="9">
                  <c:v>529.29999999999995</c:v>
                </c:pt>
                <c:pt idx="10">
                  <c:v>520.6</c:v>
                </c:pt>
                <c:pt idx="11">
                  <c:v>520.6</c:v>
                </c:pt>
                <c:pt idx="12">
                  <c:v>543.5</c:v>
                </c:pt>
                <c:pt idx="13">
                  <c:v>500.2</c:v>
                </c:pt>
                <c:pt idx="14">
                  <c:v>515.70000000000005</c:v>
                </c:pt>
                <c:pt idx="15">
                  <c:v>504.9</c:v>
                </c:pt>
                <c:pt idx="16">
                  <c:v>526.79999999999995</c:v>
                </c:pt>
                <c:pt idx="17">
                  <c:v>537</c:v>
                </c:pt>
                <c:pt idx="18">
                  <c:v>506.1</c:v>
                </c:pt>
                <c:pt idx="19">
                  <c:v>499.1</c:v>
                </c:pt>
                <c:pt idx="20">
                  <c:v>516.9</c:v>
                </c:pt>
                <c:pt idx="21">
                  <c:v>516.9</c:v>
                </c:pt>
                <c:pt idx="22">
                  <c:v>510.9</c:v>
                </c:pt>
                <c:pt idx="23">
                  <c:v>510.9</c:v>
                </c:pt>
                <c:pt idx="24">
                  <c:v>508.5</c:v>
                </c:pt>
                <c:pt idx="25">
                  <c:v>566.6</c:v>
                </c:pt>
                <c:pt idx="26">
                  <c:v>513.29999999999995</c:v>
                </c:pt>
                <c:pt idx="27">
                  <c:v>513.29999999999995</c:v>
                </c:pt>
                <c:pt idx="28">
                  <c:v>566.6</c:v>
                </c:pt>
                <c:pt idx="29">
                  <c:v>533.20000000000005</c:v>
                </c:pt>
                <c:pt idx="30">
                  <c:v>528.1</c:v>
                </c:pt>
                <c:pt idx="31">
                  <c:v>497.9</c:v>
                </c:pt>
                <c:pt idx="32">
                  <c:v>501.4</c:v>
                </c:pt>
                <c:pt idx="33">
                  <c:v>513.29999999999995</c:v>
                </c:pt>
              </c:numCache>
            </c:numRef>
          </c:yVal>
          <c:smooth val="0"/>
        </c:ser>
        <c:dLbls>
          <c:showLegendKey val="0"/>
          <c:showVal val="0"/>
          <c:showCatName val="0"/>
          <c:showSerName val="0"/>
          <c:showPercent val="0"/>
          <c:showBubbleSize val="0"/>
        </c:dLbls>
        <c:axId val="301132032"/>
        <c:axId val="301134208"/>
      </c:scatterChart>
      <c:valAx>
        <c:axId val="301132032"/>
        <c:scaling>
          <c:orientation val="minMax"/>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301134208"/>
        <c:crossesAt val="0"/>
        <c:crossBetween val="midCat"/>
      </c:valAx>
      <c:valAx>
        <c:axId val="301134208"/>
        <c:scaling>
          <c:orientation val="minMax"/>
          <c:min val="0"/>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301132032"/>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a:t>
            </a:r>
            <a:r>
              <a:rPr lang="en-US" baseline="0"/>
              <a:t> Treated Sample H </a:t>
            </a:r>
            <a:endParaRPr lang="en-US"/>
          </a:p>
        </c:rich>
      </c:tx>
      <c:overlay val="0"/>
    </c:title>
    <c:autoTitleDeleted val="0"/>
    <c:plotArea>
      <c:layout/>
      <c:scatterChart>
        <c:scatterStyle val="lineMarker"/>
        <c:varyColors val="0"/>
        <c:ser>
          <c:idx val="0"/>
          <c:order val="0"/>
          <c:spPr>
            <a:ln w="28575">
              <a:noFill/>
            </a:ln>
          </c:spPr>
          <c:xVal>
            <c:numRef>
              <c:f>Sheet10!$D$10:$D$43</c:f>
              <c:numCache>
                <c:formatCode>General</c:formatCode>
                <c:ptCount val="34"/>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pt idx="33">
                  <c:v>0.90000000000000047</c:v>
                </c:pt>
              </c:numCache>
            </c:numRef>
          </c:xVal>
          <c:yVal>
            <c:numRef>
              <c:f>Sheet10!$C$10:$C$43</c:f>
              <c:numCache>
                <c:formatCode>General</c:formatCode>
                <c:ptCount val="34"/>
                <c:pt idx="0">
                  <c:v>526.79999999999995</c:v>
                </c:pt>
                <c:pt idx="1">
                  <c:v>518.1</c:v>
                </c:pt>
                <c:pt idx="2">
                  <c:v>506.1</c:v>
                </c:pt>
                <c:pt idx="3">
                  <c:v>521.79999999999995</c:v>
                </c:pt>
                <c:pt idx="4">
                  <c:v>516.9</c:v>
                </c:pt>
                <c:pt idx="5">
                  <c:v>516.9</c:v>
                </c:pt>
                <c:pt idx="6">
                  <c:v>521.79999999999995</c:v>
                </c:pt>
                <c:pt idx="7">
                  <c:v>540.9</c:v>
                </c:pt>
                <c:pt idx="8">
                  <c:v>540.9</c:v>
                </c:pt>
                <c:pt idx="9">
                  <c:v>533.20000000000005</c:v>
                </c:pt>
                <c:pt idx="10">
                  <c:v>524.29999999999995</c:v>
                </c:pt>
                <c:pt idx="11">
                  <c:v>526.79999999999995</c:v>
                </c:pt>
                <c:pt idx="12">
                  <c:v>543.5</c:v>
                </c:pt>
                <c:pt idx="13">
                  <c:v>537</c:v>
                </c:pt>
                <c:pt idx="14">
                  <c:v>561.1</c:v>
                </c:pt>
                <c:pt idx="15">
                  <c:v>533.20000000000005</c:v>
                </c:pt>
                <c:pt idx="16">
                  <c:v>543.5</c:v>
                </c:pt>
                <c:pt idx="17">
                  <c:v>530.6</c:v>
                </c:pt>
                <c:pt idx="18">
                  <c:v>519.4</c:v>
                </c:pt>
                <c:pt idx="19">
                  <c:v>537</c:v>
                </c:pt>
                <c:pt idx="20">
                  <c:v>542.20000000000005</c:v>
                </c:pt>
                <c:pt idx="21">
                  <c:v>548.79999999999995</c:v>
                </c:pt>
                <c:pt idx="22">
                  <c:v>509.7</c:v>
                </c:pt>
                <c:pt idx="23">
                  <c:v>548.79999999999995</c:v>
                </c:pt>
                <c:pt idx="24">
                  <c:v>550.20000000000005</c:v>
                </c:pt>
                <c:pt idx="25">
                  <c:v>544.9</c:v>
                </c:pt>
                <c:pt idx="26">
                  <c:v>547.5</c:v>
                </c:pt>
                <c:pt idx="27">
                  <c:v>521.79999999999995</c:v>
                </c:pt>
                <c:pt idx="28">
                  <c:v>477.8</c:v>
                </c:pt>
                <c:pt idx="29">
                  <c:v>493.3</c:v>
                </c:pt>
                <c:pt idx="30">
                  <c:v>497.9</c:v>
                </c:pt>
                <c:pt idx="31">
                  <c:v>535.70000000000005</c:v>
                </c:pt>
                <c:pt idx="32">
                  <c:v>506.1</c:v>
                </c:pt>
                <c:pt idx="33">
                  <c:v>528.1</c:v>
                </c:pt>
              </c:numCache>
            </c:numRef>
          </c:yVal>
          <c:smooth val="0"/>
        </c:ser>
        <c:dLbls>
          <c:showLegendKey val="0"/>
          <c:showVal val="0"/>
          <c:showCatName val="0"/>
          <c:showSerName val="0"/>
          <c:showPercent val="0"/>
          <c:showBubbleSize val="0"/>
        </c:dLbls>
        <c:axId val="301232512"/>
        <c:axId val="301234432"/>
      </c:scatterChart>
      <c:valAx>
        <c:axId val="301232512"/>
        <c:scaling>
          <c:orientation val="minMax"/>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301234432"/>
        <c:crosses val="autoZero"/>
        <c:crossBetween val="midCat"/>
      </c:valAx>
      <c:valAx>
        <c:axId val="301234432"/>
        <c:scaling>
          <c:orientation val="minMax"/>
          <c:min val="0"/>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301232512"/>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Treated Sample I </a:t>
            </a:r>
          </a:p>
        </c:rich>
      </c:tx>
      <c:overlay val="0"/>
    </c:title>
    <c:autoTitleDeleted val="0"/>
    <c:plotArea>
      <c:layout/>
      <c:scatterChart>
        <c:scatterStyle val="lineMarker"/>
        <c:varyColors val="0"/>
        <c:ser>
          <c:idx val="0"/>
          <c:order val="0"/>
          <c:spPr>
            <a:ln w="28575">
              <a:noFill/>
            </a:ln>
          </c:spPr>
          <c:xVal>
            <c:numRef>
              <c:f>Sheet11!$D$10:$D$43</c:f>
              <c:numCache>
                <c:formatCode>General</c:formatCode>
                <c:ptCount val="34"/>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pt idx="33">
                  <c:v>0.90000000000000047</c:v>
                </c:pt>
              </c:numCache>
            </c:numRef>
          </c:xVal>
          <c:yVal>
            <c:numRef>
              <c:f>Sheet11!$C$10:$C$43</c:f>
              <c:numCache>
                <c:formatCode>General</c:formatCode>
                <c:ptCount val="34"/>
                <c:pt idx="0">
                  <c:v>499.1</c:v>
                </c:pt>
                <c:pt idx="1">
                  <c:v>480</c:v>
                </c:pt>
                <c:pt idx="2">
                  <c:v>516.9</c:v>
                </c:pt>
                <c:pt idx="3">
                  <c:v>489.9</c:v>
                </c:pt>
                <c:pt idx="4">
                  <c:v>518.1</c:v>
                </c:pt>
                <c:pt idx="5">
                  <c:v>494.5</c:v>
                </c:pt>
                <c:pt idx="6">
                  <c:v>506.1</c:v>
                </c:pt>
                <c:pt idx="7">
                  <c:v>489.9</c:v>
                </c:pt>
                <c:pt idx="8">
                  <c:v>525.6</c:v>
                </c:pt>
                <c:pt idx="9">
                  <c:v>530.6</c:v>
                </c:pt>
                <c:pt idx="10">
                  <c:v>507.3</c:v>
                </c:pt>
                <c:pt idx="11">
                  <c:v>513.29999999999995</c:v>
                </c:pt>
                <c:pt idx="12">
                  <c:v>494.5</c:v>
                </c:pt>
                <c:pt idx="13">
                  <c:v>473.5</c:v>
                </c:pt>
                <c:pt idx="14">
                  <c:v>509.7</c:v>
                </c:pt>
                <c:pt idx="15">
                  <c:v>502.6</c:v>
                </c:pt>
                <c:pt idx="16">
                  <c:v>520.6</c:v>
                </c:pt>
                <c:pt idx="17">
                  <c:v>502.6</c:v>
                </c:pt>
                <c:pt idx="18">
                  <c:v>528.1</c:v>
                </c:pt>
                <c:pt idx="19">
                  <c:v>519.4</c:v>
                </c:pt>
                <c:pt idx="20">
                  <c:v>516.9</c:v>
                </c:pt>
                <c:pt idx="21">
                  <c:v>521.79999999999995</c:v>
                </c:pt>
                <c:pt idx="22">
                  <c:v>519.4</c:v>
                </c:pt>
                <c:pt idx="23">
                  <c:v>503.8</c:v>
                </c:pt>
                <c:pt idx="24">
                  <c:v>518.1</c:v>
                </c:pt>
                <c:pt idx="25">
                  <c:v>524.29999999999995</c:v>
                </c:pt>
                <c:pt idx="26">
                  <c:v>519.4</c:v>
                </c:pt>
                <c:pt idx="27">
                  <c:v>507.3</c:v>
                </c:pt>
                <c:pt idx="28">
                  <c:v>523.1</c:v>
                </c:pt>
                <c:pt idx="29">
                  <c:v>491.1</c:v>
                </c:pt>
                <c:pt idx="30">
                  <c:v>495.6</c:v>
                </c:pt>
                <c:pt idx="31">
                  <c:v>495.6</c:v>
                </c:pt>
                <c:pt idx="32">
                  <c:v>513.29999999999995</c:v>
                </c:pt>
                <c:pt idx="33">
                  <c:v>474.6</c:v>
                </c:pt>
              </c:numCache>
            </c:numRef>
          </c:yVal>
          <c:smooth val="0"/>
        </c:ser>
        <c:dLbls>
          <c:showLegendKey val="0"/>
          <c:showVal val="0"/>
          <c:showCatName val="0"/>
          <c:showSerName val="0"/>
          <c:showPercent val="0"/>
          <c:showBubbleSize val="0"/>
        </c:dLbls>
        <c:axId val="301263104"/>
        <c:axId val="301269376"/>
      </c:scatterChart>
      <c:valAx>
        <c:axId val="301263104"/>
        <c:scaling>
          <c:orientation val="minMax"/>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301269376"/>
        <c:crosses val="autoZero"/>
        <c:crossBetween val="midCat"/>
      </c:valAx>
      <c:valAx>
        <c:axId val="301269376"/>
        <c:scaling>
          <c:orientation val="minMax"/>
          <c:min val="0"/>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30126310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23842181017696"/>
          <c:y val="0.12794391187519946"/>
          <c:w val="0.85048734230801792"/>
          <c:h val="0.73140481522192213"/>
        </c:manualLayout>
      </c:layout>
      <c:scatterChart>
        <c:scatterStyle val="lineMarker"/>
        <c:varyColors val="0"/>
        <c:ser>
          <c:idx val="0"/>
          <c:order val="0"/>
          <c:spPr>
            <a:ln w="28575">
              <a:noFill/>
            </a:ln>
          </c:spPr>
          <c:xVal>
            <c:numRef>
              <c:f>Sheet1!$D$8:$D$55</c:f>
              <c:numCache>
                <c:formatCode>General</c:formatCode>
                <c:ptCount val="48"/>
                <c:pt idx="0">
                  <c:v>0</c:v>
                </c:pt>
                <c:pt idx="1">
                  <c:v>0.02</c:v>
                </c:pt>
                <c:pt idx="2">
                  <c:v>0.04</c:v>
                </c:pt>
                <c:pt idx="3">
                  <c:v>0.06</c:v>
                </c:pt>
                <c:pt idx="4">
                  <c:v>0.08</c:v>
                </c:pt>
                <c:pt idx="5">
                  <c:v>0.1</c:v>
                </c:pt>
                <c:pt idx="6">
                  <c:v>0.12000000000000001</c:v>
                </c:pt>
                <c:pt idx="7">
                  <c:v>0.14000000000000001</c:v>
                </c:pt>
                <c:pt idx="8">
                  <c:v>0.16</c:v>
                </c:pt>
                <c:pt idx="9">
                  <c:v>0.18</c:v>
                </c:pt>
                <c:pt idx="10">
                  <c:v>0.19999999999999998</c:v>
                </c:pt>
                <c:pt idx="11">
                  <c:v>0.21999999999999997</c:v>
                </c:pt>
                <c:pt idx="12">
                  <c:v>0.23999999999999996</c:v>
                </c:pt>
                <c:pt idx="13">
                  <c:v>0.25999999999999995</c:v>
                </c:pt>
                <c:pt idx="14">
                  <c:v>0.27999999999999997</c:v>
                </c:pt>
                <c:pt idx="15">
                  <c:v>0.3</c:v>
                </c:pt>
                <c:pt idx="16">
                  <c:v>0.32</c:v>
                </c:pt>
                <c:pt idx="17">
                  <c:v>0.34</c:v>
                </c:pt>
                <c:pt idx="18">
                  <c:v>0.36000000000000004</c:v>
                </c:pt>
                <c:pt idx="19">
                  <c:v>0.38000000000000006</c:v>
                </c:pt>
                <c:pt idx="20">
                  <c:v>0.40000000000000008</c:v>
                </c:pt>
                <c:pt idx="21">
                  <c:v>0.4200000000000001</c:v>
                </c:pt>
                <c:pt idx="22">
                  <c:v>0.44000000000000011</c:v>
                </c:pt>
                <c:pt idx="23">
                  <c:v>0.46000000000000013</c:v>
                </c:pt>
                <c:pt idx="24">
                  <c:v>0.48000000000000015</c:v>
                </c:pt>
                <c:pt idx="25">
                  <c:v>0.50000000000000011</c:v>
                </c:pt>
                <c:pt idx="26">
                  <c:v>0.52000000000000013</c:v>
                </c:pt>
                <c:pt idx="27">
                  <c:v>0.54000000000000015</c:v>
                </c:pt>
                <c:pt idx="28">
                  <c:v>0.56000000000000016</c:v>
                </c:pt>
                <c:pt idx="29">
                  <c:v>0.58000000000000018</c:v>
                </c:pt>
                <c:pt idx="30">
                  <c:v>0.6000000000000002</c:v>
                </c:pt>
                <c:pt idx="31">
                  <c:v>0.62000000000000022</c:v>
                </c:pt>
                <c:pt idx="32">
                  <c:v>0.64000000000000024</c:v>
                </c:pt>
                <c:pt idx="33">
                  <c:v>0.66000000000000025</c:v>
                </c:pt>
                <c:pt idx="34">
                  <c:v>0.68000000000000027</c:v>
                </c:pt>
                <c:pt idx="35">
                  <c:v>0.70000000000000029</c:v>
                </c:pt>
                <c:pt idx="36">
                  <c:v>0.72000000000000031</c:v>
                </c:pt>
                <c:pt idx="37">
                  <c:v>0.74000000000000032</c:v>
                </c:pt>
                <c:pt idx="38">
                  <c:v>0.76000000000000034</c:v>
                </c:pt>
                <c:pt idx="39">
                  <c:v>0.78000000000000036</c:v>
                </c:pt>
                <c:pt idx="40">
                  <c:v>0.80000000000000038</c:v>
                </c:pt>
                <c:pt idx="41">
                  <c:v>0.8200000000000004</c:v>
                </c:pt>
                <c:pt idx="42">
                  <c:v>0.84000000000000041</c:v>
                </c:pt>
                <c:pt idx="43">
                  <c:v>0.86000000000000043</c:v>
                </c:pt>
                <c:pt idx="44">
                  <c:v>0.88000000000000045</c:v>
                </c:pt>
                <c:pt idx="45">
                  <c:v>0.90000000000000047</c:v>
                </c:pt>
                <c:pt idx="46">
                  <c:v>0.92000000000000048</c:v>
                </c:pt>
                <c:pt idx="47">
                  <c:v>0.9400000000000005</c:v>
                </c:pt>
              </c:numCache>
            </c:numRef>
          </c:xVal>
          <c:yVal>
            <c:numRef>
              <c:f>Sheet1!$C$8:$C$55</c:f>
              <c:numCache>
                <c:formatCode>General</c:formatCode>
                <c:ptCount val="48"/>
                <c:pt idx="0">
                  <c:v>360.7</c:v>
                </c:pt>
                <c:pt idx="1">
                  <c:v>369.4</c:v>
                </c:pt>
                <c:pt idx="2">
                  <c:v>372.3</c:v>
                </c:pt>
                <c:pt idx="3">
                  <c:v>384.6</c:v>
                </c:pt>
                <c:pt idx="4">
                  <c:v>418.8</c:v>
                </c:pt>
                <c:pt idx="5">
                  <c:v>313.8</c:v>
                </c:pt>
                <c:pt idx="6">
                  <c:v>288.39999999999998</c:v>
                </c:pt>
                <c:pt idx="7">
                  <c:v>275.10000000000002</c:v>
                </c:pt>
                <c:pt idx="8">
                  <c:v>305.89999999999998</c:v>
                </c:pt>
                <c:pt idx="9">
                  <c:v>297.2</c:v>
                </c:pt>
                <c:pt idx="10">
                  <c:v>311</c:v>
                </c:pt>
                <c:pt idx="11">
                  <c:v>309.3</c:v>
                </c:pt>
                <c:pt idx="12">
                  <c:v>331.9</c:v>
                </c:pt>
                <c:pt idx="13">
                  <c:v>325.7</c:v>
                </c:pt>
                <c:pt idx="14">
                  <c:v>340.9</c:v>
                </c:pt>
                <c:pt idx="15">
                  <c:v>320.89999999999998</c:v>
                </c:pt>
                <c:pt idx="16">
                  <c:v>309.3</c:v>
                </c:pt>
                <c:pt idx="17">
                  <c:v>333.2</c:v>
                </c:pt>
                <c:pt idx="18">
                  <c:v>314.39999999999998</c:v>
                </c:pt>
                <c:pt idx="19">
                  <c:v>337</c:v>
                </c:pt>
                <c:pt idx="20">
                  <c:v>323.89999999999998</c:v>
                </c:pt>
                <c:pt idx="21">
                  <c:v>339.6</c:v>
                </c:pt>
                <c:pt idx="22">
                  <c:v>340.9</c:v>
                </c:pt>
                <c:pt idx="23">
                  <c:v>314.39999999999998</c:v>
                </c:pt>
                <c:pt idx="24">
                  <c:v>309.8</c:v>
                </c:pt>
                <c:pt idx="25">
                  <c:v>332.5</c:v>
                </c:pt>
                <c:pt idx="26">
                  <c:v>318.5</c:v>
                </c:pt>
                <c:pt idx="27">
                  <c:v>330.7</c:v>
                </c:pt>
                <c:pt idx="28">
                  <c:v>337.6</c:v>
                </c:pt>
                <c:pt idx="29">
                  <c:v>326.89999999999998</c:v>
                </c:pt>
                <c:pt idx="30">
                  <c:v>329.4</c:v>
                </c:pt>
                <c:pt idx="31">
                  <c:v>320.3</c:v>
                </c:pt>
                <c:pt idx="32">
                  <c:v>319.10000000000002</c:v>
                </c:pt>
                <c:pt idx="33">
                  <c:v>313.3</c:v>
                </c:pt>
                <c:pt idx="34">
                  <c:v>309.8</c:v>
                </c:pt>
                <c:pt idx="35">
                  <c:v>301</c:v>
                </c:pt>
                <c:pt idx="36">
                  <c:v>317.89999999999998</c:v>
                </c:pt>
                <c:pt idx="37">
                  <c:v>319.10000000000002</c:v>
                </c:pt>
                <c:pt idx="38">
                  <c:v>334.4</c:v>
                </c:pt>
                <c:pt idx="39">
                  <c:v>331.3</c:v>
                </c:pt>
                <c:pt idx="40">
                  <c:v>317.89999999999998</c:v>
                </c:pt>
                <c:pt idx="41">
                  <c:v>421.5</c:v>
                </c:pt>
                <c:pt idx="42">
                  <c:v>404.9</c:v>
                </c:pt>
                <c:pt idx="43">
                  <c:v>407.5</c:v>
                </c:pt>
                <c:pt idx="44">
                  <c:v>412.6</c:v>
                </c:pt>
                <c:pt idx="45">
                  <c:v>404.9</c:v>
                </c:pt>
                <c:pt idx="46">
                  <c:v>395.8</c:v>
                </c:pt>
                <c:pt idx="47">
                  <c:v>380.7</c:v>
                </c:pt>
              </c:numCache>
            </c:numRef>
          </c:yVal>
          <c:smooth val="0"/>
        </c:ser>
        <c:ser>
          <c:idx val="1"/>
          <c:order val="1"/>
          <c:spPr>
            <a:ln w="28575">
              <a:noFill/>
            </a:ln>
          </c:spPr>
          <c:dPt>
            <c:idx val="0"/>
            <c:marker>
              <c:symbol val="circle"/>
              <c:size val="2"/>
            </c:marker>
            <c:bubble3D val="0"/>
          </c:dPt>
          <c:dPt>
            <c:idx val="1"/>
            <c:marker>
              <c:symbol val="circle"/>
              <c:size val="2"/>
            </c:marker>
            <c:bubble3D val="0"/>
          </c:dPt>
          <c:trendline>
            <c:spPr>
              <a:ln w="28575" cmpd="sng">
                <a:solidFill>
                  <a:srgbClr val="FF0000"/>
                </a:solidFill>
              </a:ln>
            </c:spPr>
            <c:trendlineType val="linear"/>
            <c:dispRSqr val="0"/>
            <c:dispEq val="0"/>
          </c:trendline>
          <c:xVal>
            <c:numRef>
              <c:f>Sheet2!$D$11:$D$12</c:f>
              <c:numCache>
                <c:formatCode>General</c:formatCode>
                <c:ptCount val="2"/>
                <c:pt idx="0">
                  <c:v>0</c:v>
                </c:pt>
                <c:pt idx="1">
                  <c:v>1</c:v>
                </c:pt>
              </c:numCache>
            </c:numRef>
          </c:xVal>
          <c:yVal>
            <c:numRef>
              <c:f>Sheet2!$C$11:$C$12</c:f>
              <c:numCache>
                <c:formatCode>General</c:formatCode>
                <c:ptCount val="2"/>
                <c:pt idx="0">
                  <c:v>309.92</c:v>
                </c:pt>
                <c:pt idx="1">
                  <c:v>309.92</c:v>
                </c:pt>
              </c:numCache>
            </c:numRef>
          </c:yVal>
          <c:smooth val="0"/>
        </c:ser>
        <c:dLbls>
          <c:showLegendKey val="0"/>
          <c:showVal val="0"/>
          <c:showCatName val="0"/>
          <c:showSerName val="0"/>
          <c:showPercent val="0"/>
          <c:showBubbleSize val="0"/>
        </c:dLbls>
        <c:axId val="299353984"/>
        <c:axId val="299380736"/>
      </c:scatterChart>
      <c:valAx>
        <c:axId val="299353984"/>
        <c:scaling>
          <c:orientation val="minMax"/>
          <c:max val="1"/>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299380736"/>
        <c:crosses val="autoZero"/>
        <c:crossBetween val="midCat"/>
      </c:valAx>
      <c:valAx>
        <c:axId val="299380736"/>
        <c:scaling>
          <c:orientation val="minMax"/>
          <c:min val="250"/>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29935398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xVal>
            <c:numRef>
              <c:f>Sheet11!$D$10:$D$43</c:f>
              <c:numCache>
                <c:formatCode>General</c:formatCode>
                <c:ptCount val="34"/>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pt idx="33">
                  <c:v>0.90000000000000047</c:v>
                </c:pt>
              </c:numCache>
            </c:numRef>
          </c:xVal>
          <c:yVal>
            <c:numRef>
              <c:f>Sheet11!$C$10:$C$43</c:f>
              <c:numCache>
                <c:formatCode>General</c:formatCode>
                <c:ptCount val="34"/>
                <c:pt idx="0">
                  <c:v>499.1</c:v>
                </c:pt>
                <c:pt idx="1">
                  <c:v>480</c:v>
                </c:pt>
                <c:pt idx="2">
                  <c:v>516.9</c:v>
                </c:pt>
                <c:pt idx="3">
                  <c:v>489.9</c:v>
                </c:pt>
                <c:pt idx="4">
                  <c:v>518.1</c:v>
                </c:pt>
                <c:pt idx="5">
                  <c:v>494.5</c:v>
                </c:pt>
                <c:pt idx="6">
                  <c:v>506.1</c:v>
                </c:pt>
                <c:pt idx="7">
                  <c:v>489.9</c:v>
                </c:pt>
                <c:pt idx="8">
                  <c:v>525.6</c:v>
                </c:pt>
                <c:pt idx="9">
                  <c:v>530.6</c:v>
                </c:pt>
                <c:pt idx="10">
                  <c:v>507.3</c:v>
                </c:pt>
                <c:pt idx="11">
                  <c:v>513.29999999999995</c:v>
                </c:pt>
                <c:pt idx="12">
                  <c:v>494.5</c:v>
                </c:pt>
                <c:pt idx="13">
                  <c:v>473.5</c:v>
                </c:pt>
                <c:pt idx="14">
                  <c:v>509.7</c:v>
                </c:pt>
                <c:pt idx="15">
                  <c:v>502.6</c:v>
                </c:pt>
                <c:pt idx="16">
                  <c:v>520.6</c:v>
                </c:pt>
                <c:pt idx="17">
                  <c:v>502.6</c:v>
                </c:pt>
                <c:pt idx="18">
                  <c:v>528.1</c:v>
                </c:pt>
                <c:pt idx="19">
                  <c:v>519.4</c:v>
                </c:pt>
                <c:pt idx="20">
                  <c:v>516.9</c:v>
                </c:pt>
                <c:pt idx="21">
                  <c:v>521.79999999999995</c:v>
                </c:pt>
                <c:pt idx="22">
                  <c:v>519.4</c:v>
                </c:pt>
                <c:pt idx="23">
                  <c:v>503.8</c:v>
                </c:pt>
                <c:pt idx="24">
                  <c:v>518.1</c:v>
                </c:pt>
                <c:pt idx="25">
                  <c:v>524.29999999999995</c:v>
                </c:pt>
                <c:pt idx="26">
                  <c:v>519.4</c:v>
                </c:pt>
                <c:pt idx="27">
                  <c:v>507.3</c:v>
                </c:pt>
                <c:pt idx="28">
                  <c:v>523.1</c:v>
                </c:pt>
                <c:pt idx="29">
                  <c:v>491.1</c:v>
                </c:pt>
                <c:pt idx="30">
                  <c:v>495.6</c:v>
                </c:pt>
                <c:pt idx="31">
                  <c:v>495.6</c:v>
                </c:pt>
                <c:pt idx="32">
                  <c:v>513.29999999999995</c:v>
                </c:pt>
                <c:pt idx="33">
                  <c:v>474.6</c:v>
                </c:pt>
              </c:numCache>
            </c:numRef>
          </c:yVal>
          <c:smooth val="0"/>
        </c:ser>
        <c:dLbls>
          <c:showLegendKey val="0"/>
          <c:showVal val="0"/>
          <c:showCatName val="0"/>
          <c:showSerName val="0"/>
          <c:showPercent val="0"/>
          <c:showBubbleSize val="0"/>
        </c:dLbls>
        <c:axId val="299437440"/>
        <c:axId val="299451904"/>
      </c:scatterChart>
      <c:valAx>
        <c:axId val="299437440"/>
        <c:scaling>
          <c:orientation val="minMax"/>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299451904"/>
        <c:crosses val="autoZero"/>
        <c:crossBetween val="midCat"/>
      </c:valAx>
      <c:valAx>
        <c:axId val="299451904"/>
        <c:scaling>
          <c:orientation val="minMax"/>
          <c:min val="0"/>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29943744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As</a:t>
            </a:r>
            <a:r>
              <a:rPr lang="en-US" baseline="0"/>
              <a:t> Welded Condition</a:t>
            </a:r>
            <a:r>
              <a:rPr lang="en-US"/>
              <a:t> </a:t>
            </a:r>
          </a:p>
        </c:rich>
      </c:tx>
      <c:overlay val="0"/>
    </c:title>
    <c:autoTitleDeleted val="0"/>
    <c:plotArea>
      <c:layout>
        <c:manualLayout>
          <c:layoutTarget val="inner"/>
          <c:xMode val="edge"/>
          <c:yMode val="edge"/>
          <c:x val="0.11223842181017696"/>
          <c:y val="0.12794391187519946"/>
          <c:w val="0.85048734230801792"/>
          <c:h val="0.73140481522192213"/>
        </c:manualLayout>
      </c:layout>
      <c:scatterChart>
        <c:scatterStyle val="lineMarker"/>
        <c:varyColors val="0"/>
        <c:ser>
          <c:idx val="0"/>
          <c:order val="0"/>
          <c:spPr>
            <a:ln w="28575">
              <a:noFill/>
            </a:ln>
          </c:spPr>
          <c:xVal>
            <c:numRef>
              <c:f>Sheet1!$D$8:$D$55</c:f>
              <c:numCache>
                <c:formatCode>General</c:formatCode>
                <c:ptCount val="48"/>
                <c:pt idx="0">
                  <c:v>0</c:v>
                </c:pt>
                <c:pt idx="1">
                  <c:v>0.02</c:v>
                </c:pt>
                <c:pt idx="2">
                  <c:v>0.04</c:v>
                </c:pt>
                <c:pt idx="3">
                  <c:v>0.06</c:v>
                </c:pt>
                <c:pt idx="4">
                  <c:v>0.08</c:v>
                </c:pt>
                <c:pt idx="5">
                  <c:v>0.1</c:v>
                </c:pt>
                <c:pt idx="6">
                  <c:v>0.12000000000000001</c:v>
                </c:pt>
                <c:pt idx="7">
                  <c:v>0.14000000000000001</c:v>
                </c:pt>
                <c:pt idx="8">
                  <c:v>0.16</c:v>
                </c:pt>
                <c:pt idx="9">
                  <c:v>0.18</c:v>
                </c:pt>
                <c:pt idx="10">
                  <c:v>0.19999999999999998</c:v>
                </c:pt>
                <c:pt idx="11">
                  <c:v>0.21999999999999997</c:v>
                </c:pt>
                <c:pt idx="12">
                  <c:v>0.23999999999999996</c:v>
                </c:pt>
                <c:pt idx="13">
                  <c:v>0.25999999999999995</c:v>
                </c:pt>
                <c:pt idx="14">
                  <c:v>0.27999999999999997</c:v>
                </c:pt>
                <c:pt idx="15">
                  <c:v>0.3</c:v>
                </c:pt>
                <c:pt idx="16">
                  <c:v>0.32</c:v>
                </c:pt>
                <c:pt idx="17">
                  <c:v>0.34</c:v>
                </c:pt>
                <c:pt idx="18">
                  <c:v>0.36000000000000004</c:v>
                </c:pt>
                <c:pt idx="19">
                  <c:v>0.38000000000000006</c:v>
                </c:pt>
                <c:pt idx="20">
                  <c:v>0.40000000000000008</c:v>
                </c:pt>
                <c:pt idx="21">
                  <c:v>0.4200000000000001</c:v>
                </c:pt>
                <c:pt idx="22">
                  <c:v>0.44000000000000011</c:v>
                </c:pt>
                <c:pt idx="23">
                  <c:v>0.46000000000000013</c:v>
                </c:pt>
                <c:pt idx="24">
                  <c:v>0.48000000000000015</c:v>
                </c:pt>
                <c:pt idx="25">
                  <c:v>0.50000000000000011</c:v>
                </c:pt>
                <c:pt idx="26">
                  <c:v>0.52000000000000013</c:v>
                </c:pt>
                <c:pt idx="27">
                  <c:v>0.54000000000000015</c:v>
                </c:pt>
                <c:pt idx="28">
                  <c:v>0.56000000000000016</c:v>
                </c:pt>
                <c:pt idx="29">
                  <c:v>0.58000000000000018</c:v>
                </c:pt>
                <c:pt idx="30">
                  <c:v>0.6000000000000002</c:v>
                </c:pt>
                <c:pt idx="31">
                  <c:v>0.62000000000000022</c:v>
                </c:pt>
                <c:pt idx="32">
                  <c:v>0.64000000000000024</c:v>
                </c:pt>
                <c:pt idx="33">
                  <c:v>0.66000000000000025</c:v>
                </c:pt>
                <c:pt idx="34">
                  <c:v>0.68000000000000027</c:v>
                </c:pt>
                <c:pt idx="35">
                  <c:v>0.70000000000000029</c:v>
                </c:pt>
                <c:pt idx="36">
                  <c:v>0.72000000000000031</c:v>
                </c:pt>
                <c:pt idx="37">
                  <c:v>0.74000000000000032</c:v>
                </c:pt>
                <c:pt idx="38">
                  <c:v>0.76000000000000034</c:v>
                </c:pt>
                <c:pt idx="39">
                  <c:v>0.78000000000000036</c:v>
                </c:pt>
                <c:pt idx="40">
                  <c:v>0.80000000000000038</c:v>
                </c:pt>
                <c:pt idx="41">
                  <c:v>0.8200000000000004</c:v>
                </c:pt>
                <c:pt idx="42">
                  <c:v>0.84000000000000041</c:v>
                </c:pt>
                <c:pt idx="43">
                  <c:v>0.86000000000000043</c:v>
                </c:pt>
                <c:pt idx="44">
                  <c:v>0.88000000000000045</c:v>
                </c:pt>
                <c:pt idx="45">
                  <c:v>0.90000000000000047</c:v>
                </c:pt>
                <c:pt idx="46">
                  <c:v>0.92000000000000048</c:v>
                </c:pt>
                <c:pt idx="47">
                  <c:v>0.9400000000000005</c:v>
                </c:pt>
              </c:numCache>
            </c:numRef>
          </c:xVal>
          <c:yVal>
            <c:numRef>
              <c:f>Sheet1!$C$8:$C$55</c:f>
              <c:numCache>
                <c:formatCode>General</c:formatCode>
                <c:ptCount val="48"/>
                <c:pt idx="0">
                  <c:v>360.7</c:v>
                </c:pt>
                <c:pt idx="1">
                  <c:v>369.4</c:v>
                </c:pt>
                <c:pt idx="2">
                  <c:v>372.3</c:v>
                </c:pt>
                <c:pt idx="3">
                  <c:v>384.6</c:v>
                </c:pt>
                <c:pt idx="4">
                  <c:v>418.8</c:v>
                </c:pt>
                <c:pt idx="5">
                  <c:v>313.8</c:v>
                </c:pt>
                <c:pt idx="6">
                  <c:v>288.39999999999998</c:v>
                </c:pt>
                <c:pt idx="7">
                  <c:v>275.10000000000002</c:v>
                </c:pt>
                <c:pt idx="8">
                  <c:v>305.89999999999998</c:v>
                </c:pt>
                <c:pt idx="9">
                  <c:v>297.2</c:v>
                </c:pt>
                <c:pt idx="10">
                  <c:v>311</c:v>
                </c:pt>
                <c:pt idx="11">
                  <c:v>309.3</c:v>
                </c:pt>
                <c:pt idx="12">
                  <c:v>331.9</c:v>
                </c:pt>
                <c:pt idx="13">
                  <c:v>325.7</c:v>
                </c:pt>
                <c:pt idx="14">
                  <c:v>340.9</c:v>
                </c:pt>
                <c:pt idx="15">
                  <c:v>320.89999999999998</c:v>
                </c:pt>
                <c:pt idx="16">
                  <c:v>309.3</c:v>
                </c:pt>
                <c:pt idx="17">
                  <c:v>333.2</c:v>
                </c:pt>
                <c:pt idx="18">
                  <c:v>314.39999999999998</c:v>
                </c:pt>
                <c:pt idx="19">
                  <c:v>337</c:v>
                </c:pt>
                <c:pt idx="20">
                  <c:v>323.89999999999998</c:v>
                </c:pt>
                <c:pt idx="21">
                  <c:v>339.6</c:v>
                </c:pt>
                <c:pt idx="22">
                  <c:v>340.9</c:v>
                </c:pt>
                <c:pt idx="23">
                  <c:v>314.39999999999998</c:v>
                </c:pt>
                <c:pt idx="24">
                  <c:v>309.8</c:v>
                </c:pt>
                <c:pt idx="25">
                  <c:v>332.5</c:v>
                </c:pt>
                <c:pt idx="26">
                  <c:v>318.5</c:v>
                </c:pt>
                <c:pt idx="27">
                  <c:v>330.7</c:v>
                </c:pt>
                <c:pt idx="28">
                  <c:v>337.6</c:v>
                </c:pt>
                <c:pt idx="29">
                  <c:v>326.89999999999998</c:v>
                </c:pt>
                <c:pt idx="30">
                  <c:v>329.4</c:v>
                </c:pt>
                <c:pt idx="31">
                  <c:v>320.3</c:v>
                </c:pt>
                <c:pt idx="32">
                  <c:v>319.10000000000002</c:v>
                </c:pt>
                <c:pt idx="33">
                  <c:v>313.3</c:v>
                </c:pt>
                <c:pt idx="34">
                  <c:v>309.8</c:v>
                </c:pt>
                <c:pt idx="35">
                  <c:v>301</c:v>
                </c:pt>
                <c:pt idx="36">
                  <c:v>317.89999999999998</c:v>
                </c:pt>
                <c:pt idx="37">
                  <c:v>319.10000000000002</c:v>
                </c:pt>
                <c:pt idx="38">
                  <c:v>334.4</c:v>
                </c:pt>
                <c:pt idx="39">
                  <c:v>331.3</c:v>
                </c:pt>
                <c:pt idx="40">
                  <c:v>317.89999999999998</c:v>
                </c:pt>
                <c:pt idx="41">
                  <c:v>421.5</c:v>
                </c:pt>
                <c:pt idx="42">
                  <c:v>404.9</c:v>
                </c:pt>
                <c:pt idx="43">
                  <c:v>407.5</c:v>
                </c:pt>
                <c:pt idx="44">
                  <c:v>412.6</c:v>
                </c:pt>
                <c:pt idx="45">
                  <c:v>404.9</c:v>
                </c:pt>
                <c:pt idx="46">
                  <c:v>395.8</c:v>
                </c:pt>
                <c:pt idx="47">
                  <c:v>380.7</c:v>
                </c:pt>
              </c:numCache>
            </c:numRef>
          </c:yVal>
          <c:smooth val="0"/>
        </c:ser>
        <c:ser>
          <c:idx val="1"/>
          <c:order val="1"/>
          <c:spPr>
            <a:ln w="28575">
              <a:noFill/>
            </a:ln>
          </c:spPr>
          <c:dPt>
            <c:idx val="0"/>
            <c:marker>
              <c:symbol val="circle"/>
              <c:size val="2"/>
            </c:marker>
            <c:bubble3D val="0"/>
          </c:dPt>
          <c:dPt>
            <c:idx val="1"/>
            <c:marker>
              <c:symbol val="circle"/>
              <c:size val="2"/>
            </c:marker>
            <c:bubble3D val="0"/>
          </c:dPt>
          <c:trendline>
            <c:spPr>
              <a:ln w="28575" cmpd="sng">
                <a:solidFill>
                  <a:srgbClr val="FF0000"/>
                </a:solidFill>
              </a:ln>
            </c:spPr>
            <c:trendlineType val="linear"/>
            <c:dispRSqr val="0"/>
            <c:dispEq val="0"/>
          </c:trendline>
          <c:xVal>
            <c:numRef>
              <c:f>Sheet2!$D$11:$D$12</c:f>
              <c:numCache>
                <c:formatCode>General</c:formatCode>
                <c:ptCount val="2"/>
                <c:pt idx="0">
                  <c:v>0</c:v>
                </c:pt>
                <c:pt idx="1">
                  <c:v>1</c:v>
                </c:pt>
              </c:numCache>
            </c:numRef>
          </c:xVal>
          <c:yVal>
            <c:numRef>
              <c:f>Sheet2!$C$11:$C$12</c:f>
              <c:numCache>
                <c:formatCode>General</c:formatCode>
                <c:ptCount val="2"/>
                <c:pt idx="0">
                  <c:v>309.92</c:v>
                </c:pt>
                <c:pt idx="1">
                  <c:v>309.92</c:v>
                </c:pt>
              </c:numCache>
            </c:numRef>
          </c:yVal>
          <c:smooth val="0"/>
        </c:ser>
        <c:dLbls>
          <c:showLegendKey val="0"/>
          <c:showVal val="0"/>
          <c:showCatName val="0"/>
          <c:showSerName val="0"/>
          <c:showPercent val="0"/>
          <c:showBubbleSize val="0"/>
        </c:dLbls>
        <c:axId val="299482496"/>
        <c:axId val="299496960"/>
      </c:scatterChart>
      <c:valAx>
        <c:axId val="299482496"/>
        <c:scaling>
          <c:orientation val="minMax"/>
          <c:max val="1"/>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299496960"/>
        <c:crosses val="autoZero"/>
        <c:crossBetween val="midCat"/>
      </c:valAx>
      <c:valAx>
        <c:axId val="299496960"/>
        <c:scaling>
          <c:orientation val="minMax"/>
          <c:min val="250"/>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29948249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Treated Sample A </a:t>
            </a:r>
          </a:p>
        </c:rich>
      </c:tx>
      <c:overlay val="0"/>
    </c:title>
    <c:autoTitleDeleted val="0"/>
    <c:plotArea>
      <c:layout/>
      <c:scatterChart>
        <c:scatterStyle val="lineMarker"/>
        <c:varyColors val="0"/>
        <c:ser>
          <c:idx val="0"/>
          <c:order val="0"/>
          <c:spPr>
            <a:ln w="28575">
              <a:noFill/>
            </a:ln>
          </c:spPr>
          <c:xVal>
            <c:numRef>
              <c:f>Sheet3!$D$10:$D$39</c:f>
              <c:numCache>
                <c:formatCode>General</c:formatCode>
                <c:ptCount val="30"/>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numCache>
            </c:numRef>
          </c:xVal>
          <c:yVal>
            <c:numRef>
              <c:f>Sheet3!$C$10:$C$39</c:f>
              <c:numCache>
                <c:formatCode>General</c:formatCode>
                <c:ptCount val="30"/>
                <c:pt idx="0">
                  <c:v>412.6</c:v>
                </c:pt>
                <c:pt idx="1">
                  <c:v>419.7</c:v>
                </c:pt>
                <c:pt idx="2">
                  <c:v>404.9</c:v>
                </c:pt>
                <c:pt idx="3">
                  <c:v>399</c:v>
                </c:pt>
                <c:pt idx="4">
                  <c:v>399</c:v>
                </c:pt>
                <c:pt idx="5">
                  <c:v>410</c:v>
                </c:pt>
                <c:pt idx="6">
                  <c:v>379.9</c:v>
                </c:pt>
                <c:pt idx="7">
                  <c:v>417.9</c:v>
                </c:pt>
                <c:pt idx="8">
                  <c:v>416.1</c:v>
                </c:pt>
                <c:pt idx="9">
                  <c:v>399.9</c:v>
                </c:pt>
                <c:pt idx="10">
                  <c:v>413.5</c:v>
                </c:pt>
                <c:pt idx="11">
                  <c:v>419.7</c:v>
                </c:pt>
                <c:pt idx="12">
                  <c:v>418.8</c:v>
                </c:pt>
                <c:pt idx="13">
                  <c:v>421.5</c:v>
                </c:pt>
                <c:pt idx="14">
                  <c:v>407.5</c:v>
                </c:pt>
                <c:pt idx="15">
                  <c:v>410.9</c:v>
                </c:pt>
                <c:pt idx="16">
                  <c:v>410</c:v>
                </c:pt>
                <c:pt idx="17">
                  <c:v>367.1</c:v>
                </c:pt>
                <c:pt idx="18">
                  <c:v>400.7</c:v>
                </c:pt>
                <c:pt idx="19">
                  <c:v>428.8</c:v>
                </c:pt>
                <c:pt idx="20">
                  <c:v>399.9</c:v>
                </c:pt>
                <c:pt idx="21">
                  <c:v>402.4</c:v>
                </c:pt>
                <c:pt idx="22">
                  <c:v>442.9</c:v>
                </c:pt>
                <c:pt idx="23">
                  <c:v>417.9</c:v>
                </c:pt>
                <c:pt idx="24">
                  <c:v>433.4</c:v>
                </c:pt>
                <c:pt idx="25">
                  <c:v>456.8</c:v>
                </c:pt>
                <c:pt idx="26">
                  <c:v>425.1</c:v>
                </c:pt>
                <c:pt idx="27">
                  <c:v>415.3</c:v>
                </c:pt>
                <c:pt idx="28">
                  <c:v>477.8</c:v>
                </c:pt>
                <c:pt idx="29">
                  <c:v>453.8</c:v>
                </c:pt>
              </c:numCache>
            </c:numRef>
          </c:yVal>
          <c:smooth val="0"/>
        </c:ser>
        <c:dLbls>
          <c:showLegendKey val="0"/>
          <c:showVal val="0"/>
          <c:showCatName val="0"/>
          <c:showSerName val="0"/>
          <c:showPercent val="0"/>
          <c:showBubbleSize val="0"/>
        </c:dLbls>
        <c:axId val="299895040"/>
        <c:axId val="299913600"/>
      </c:scatterChart>
      <c:valAx>
        <c:axId val="299895040"/>
        <c:scaling>
          <c:orientation val="minMax"/>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299913600"/>
        <c:crosses val="autoZero"/>
        <c:crossBetween val="midCat"/>
      </c:valAx>
      <c:valAx>
        <c:axId val="299913600"/>
        <c:scaling>
          <c:orientation val="minMax"/>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299895040"/>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Treated Sample B </a:t>
            </a:r>
          </a:p>
        </c:rich>
      </c:tx>
      <c:overlay val="0"/>
    </c:title>
    <c:autoTitleDeleted val="0"/>
    <c:plotArea>
      <c:layout/>
      <c:scatterChart>
        <c:scatterStyle val="lineMarker"/>
        <c:varyColors val="0"/>
        <c:ser>
          <c:idx val="0"/>
          <c:order val="0"/>
          <c:spPr>
            <a:ln w="28575">
              <a:noFill/>
            </a:ln>
          </c:spPr>
          <c:xVal>
            <c:numRef>
              <c:f>Sheet4!$D$10:$D$43</c:f>
              <c:numCache>
                <c:formatCode>General</c:formatCode>
                <c:ptCount val="34"/>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pt idx="33">
                  <c:v>0.90000000000000047</c:v>
                </c:pt>
              </c:numCache>
            </c:numRef>
          </c:xVal>
          <c:yVal>
            <c:numRef>
              <c:f>Sheet4!$C$10:$C$43</c:f>
              <c:numCache>
                <c:formatCode>General</c:formatCode>
                <c:ptCount val="34"/>
                <c:pt idx="0">
                  <c:v>520.6</c:v>
                </c:pt>
                <c:pt idx="1">
                  <c:v>463</c:v>
                </c:pt>
                <c:pt idx="2">
                  <c:v>507.3</c:v>
                </c:pt>
                <c:pt idx="3">
                  <c:v>512.1</c:v>
                </c:pt>
                <c:pt idx="4">
                  <c:v>503.8</c:v>
                </c:pt>
                <c:pt idx="5">
                  <c:v>499.1</c:v>
                </c:pt>
                <c:pt idx="6">
                  <c:v>473.5</c:v>
                </c:pt>
                <c:pt idx="7">
                  <c:v>500.2</c:v>
                </c:pt>
                <c:pt idx="8">
                  <c:v>481.1</c:v>
                </c:pt>
                <c:pt idx="9">
                  <c:v>499.1</c:v>
                </c:pt>
                <c:pt idx="10">
                  <c:v>502.6</c:v>
                </c:pt>
                <c:pt idx="11">
                  <c:v>495.6</c:v>
                </c:pt>
                <c:pt idx="12">
                  <c:v>509.7</c:v>
                </c:pt>
                <c:pt idx="13">
                  <c:v>480</c:v>
                </c:pt>
                <c:pt idx="14">
                  <c:v>478.9</c:v>
                </c:pt>
                <c:pt idx="15">
                  <c:v>499.1</c:v>
                </c:pt>
                <c:pt idx="16">
                  <c:v>486.6</c:v>
                </c:pt>
                <c:pt idx="17">
                  <c:v>528.1</c:v>
                </c:pt>
                <c:pt idx="18">
                  <c:v>515.70000000000005</c:v>
                </c:pt>
                <c:pt idx="19">
                  <c:v>509.7</c:v>
                </c:pt>
                <c:pt idx="20">
                  <c:v>491.1</c:v>
                </c:pt>
                <c:pt idx="21">
                  <c:v>472.4</c:v>
                </c:pt>
                <c:pt idx="22">
                  <c:v>502.6</c:v>
                </c:pt>
                <c:pt idx="23">
                  <c:v>493.3</c:v>
                </c:pt>
                <c:pt idx="24">
                  <c:v>488.8</c:v>
                </c:pt>
                <c:pt idx="25">
                  <c:v>499.1</c:v>
                </c:pt>
                <c:pt idx="26">
                  <c:v>507.3</c:v>
                </c:pt>
                <c:pt idx="27">
                  <c:v>509.7</c:v>
                </c:pt>
                <c:pt idx="28">
                  <c:v>495.6</c:v>
                </c:pt>
                <c:pt idx="29">
                  <c:v>526.79999999999995</c:v>
                </c:pt>
                <c:pt idx="30">
                  <c:v>486.6</c:v>
                </c:pt>
                <c:pt idx="31">
                  <c:v>528.1</c:v>
                </c:pt>
                <c:pt idx="32">
                  <c:v>543.5</c:v>
                </c:pt>
                <c:pt idx="33">
                  <c:v>512.1</c:v>
                </c:pt>
              </c:numCache>
            </c:numRef>
          </c:yVal>
          <c:smooth val="0"/>
        </c:ser>
        <c:dLbls>
          <c:showLegendKey val="0"/>
          <c:showVal val="0"/>
          <c:showCatName val="0"/>
          <c:showSerName val="0"/>
          <c:showPercent val="0"/>
          <c:showBubbleSize val="0"/>
        </c:dLbls>
        <c:axId val="299970944"/>
        <c:axId val="299972864"/>
      </c:scatterChart>
      <c:valAx>
        <c:axId val="299970944"/>
        <c:scaling>
          <c:orientation val="minMax"/>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299972864"/>
        <c:crosses val="autoZero"/>
        <c:crossBetween val="midCat"/>
      </c:valAx>
      <c:valAx>
        <c:axId val="299972864"/>
        <c:scaling>
          <c:orientation val="minMax"/>
          <c:min val="0"/>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299970944"/>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Treated Sample C</a:t>
            </a:r>
          </a:p>
        </c:rich>
      </c:tx>
      <c:overlay val="0"/>
    </c:title>
    <c:autoTitleDeleted val="0"/>
    <c:plotArea>
      <c:layout/>
      <c:scatterChart>
        <c:scatterStyle val="lineMarker"/>
        <c:varyColors val="0"/>
        <c:ser>
          <c:idx val="0"/>
          <c:order val="0"/>
          <c:spPr>
            <a:ln w="28575">
              <a:noFill/>
            </a:ln>
          </c:spPr>
          <c:xVal>
            <c:numRef>
              <c:f>Sheet5!$D$10:$D$43</c:f>
              <c:numCache>
                <c:formatCode>General</c:formatCode>
                <c:ptCount val="34"/>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pt idx="33">
                  <c:v>0.90000000000000047</c:v>
                </c:pt>
              </c:numCache>
            </c:numRef>
          </c:xVal>
          <c:yVal>
            <c:numRef>
              <c:f>Sheet5!$C$10:$C$43</c:f>
              <c:numCache>
                <c:formatCode>General</c:formatCode>
                <c:ptCount val="34"/>
                <c:pt idx="0">
                  <c:v>539.6</c:v>
                </c:pt>
                <c:pt idx="1">
                  <c:v>525.6</c:v>
                </c:pt>
                <c:pt idx="2">
                  <c:v>588.20000000000005</c:v>
                </c:pt>
                <c:pt idx="3">
                  <c:v>580.9</c:v>
                </c:pt>
                <c:pt idx="4">
                  <c:v>538.29999999999995</c:v>
                </c:pt>
                <c:pt idx="5">
                  <c:v>523.1</c:v>
                </c:pt>
                <c:pt idx="6">
                  <c:v>523.1</c:v>
                </c:pt>
                <c:pt idx="7">
                  <c:v>585.29999999999995</c:v>
                </c:pt>
                <c:pt idx="8">
                  <c:v>579.5</c:v>
                </c:pt>
                <c:pt idx="9">
                  <c:v>572.29999999999995</c:v>
                </c:pt>
                <c:pt idx="10">
                  <c:v>544.9</c:v>
                </c:pt>
                <c:pt idx="11">
                  <c:v>551.5</c:v>
                </c:pt>
                <c:pt idx="12">
                  <c:v>555.6</c:v>
                </c:pt>
                <c:pt idx="13">
                  <c:v>554.20000000000005</c:v>
                </c:pt>
                <c:pt idx="14">
                  <c:v>548.79999999999995</c:v>
                </c:pt>
                <c:pt idx="15">
                  <c:v>533.20000000000005</c:v>
                </c:pt>
                <c:pt idx="16">
                  <c:v>538.29999999999995</c:v>
                </c:pt>
                <c:pt idx="17">
                  <c:v>573.70000000000005</c:v>
                </c:pt>
                <c:pt idx="18">
                  <c:v>555.6</c:v>
                </c:pt>
                <c:pt idx="19">
                  <c:v>548.79999999999995</c:v>
                </c:pt>
                <c:pt idx="20">
                  <c:v>537</c:v>
                </c:pt>
                <c:pt idx="21">
                  <c:v>539.6</c:v>
                </c:pt>
                <c:pt idx="22">
                  <c:v>568</c:v>
                </c:pt>
                <c:pt idx="23">
                  <c:v>566.6</c:v>
                </c:pt>
                <c:pt idx="24">
                  <c:v>558.29999999999995</c:v>
                </c:pt>
                <c:pt idx="25">
                  <c:v>542.20000000000005</c:v>
                </c:pt>
                <c:pt idx="26">
                  <c:v>520.6</c:v>
                </c:pt>
                <c:pt idx="27">
                  <c:v>604.9</c:v>
                </c:pt>
                <c:pt idx="28">
                  <c:v>540.9</c:v>
                </c:pt>
                <c:pt idx="29">
                  <c:v>575.1</c:v>
                </c:pt>
                <c:pt idx="30">
                  <c:v>533.20000000000005</c:v>
                </c:pt>
                <c:pt idx="31">
                  <c:v>534.4</c:v>
                </c:pt>
                <c:pt idx="32">
                  <c:v>484.4</c:v>
                </c:pt>
                <c:pt idx="33">
                  <c:v>520.6</c:v>
                </c:pt>
              </c:numCache>
            </c:numRef>
          </c:yVal>
          <c:smooth val="0"/>
        </c:ser>
        <c:dLbls>
          <c:showLegendKey val="0"/>
          <c:showVal val="0"/>
          <c:showCatName val="0"/>
          <c:showSerName val="0"/>
          <c:showPercent val="0"/>
          <c:showBubbleSize val="0"/>
        </c:dLbls>
        <c:axId val="299981056"/>
        <c:axId val="299999616"/>
      </c:scatterChart>
      <c:valAx>
        <c:axId val="299981056"/>
        <c:scaling>
          <c:orientation val="minMax"/>
        </c:scaling>
        <c:delete val="0"/>
        <c:axPos val="b"/>
        <c:title>
          <c:tx>
            <c:rich>
              <a:bodyPr/>
              <a:lstStyle/>
              <a:p>
                <a:pPr>
                  <a:defRPr/>
                </a:pPr>
                <a:r>
                  <a:rPr lang="en-US"/>
                  <a:t>Distance across weld (in)</a:t>
                </a:r>
              </a:p>
            </c:rich>
          </c:tx>
          <c:overlay val="0"/>
        </c:title>
        <c:numFmt formatCode="General" sourceLinked="1"/>
        <c:majorTickMark val="out"/>
        <c:minorTickMark val="none"/>
        <c:tickLblPos val="nextTo"/>
        <c:crossAx val="299999616"/>
        <c:crosses val="autoZero"/>
        <c:crossBetween val="midCat"/>
      </c:valAx>
      <c:valAx>
        <c:axId val="299999616"/>
        <c:scaling>
          <c:orientation val="minMax"/>
        </c:scaling>
        <c:delete val="0"/>
        <c:axPos val="l"/>
        <c:majorGridlines/>
        <c:title>
          <c:tx>
            <c:rich>
              <a:bodyPr rot="-5400000" vert="horz"/>
              <a:lstStyle/>
              <a:p>
                <a:pPr>
                  <a:defRPr/>
                </a:pPr>
                <a:r>
                  <a:rPr lang="en-US"/>
                  <a:t>Vickers Hardness (HV)</a:t>
                </a:r>
              </a:p>
            </c:rich>
          </c:tx>
          <c:overlay val="0"/>
        </c:title>
        <c:numFmt formatCode="General" sourceLinked="1"/>
        <c:majorTickMark val="out"/>
        <c:minorTickMark val="none"/>
        <c:tickLblPos val="nextTo"/>
        <c:crossAx val="299981056"/>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Treated Sample D</a:t>
            </a:r>
          </a:p>
        </c:rich>
      </c:tx>
      <c:overlay val="0"/>
    </c:title>
    <c:autoTitleDeleted val="0"/>
    <c:plotArea>
      <c:layout/>
      <c:scatterChart>
        <c:scatterStyle val="lineMarker"/>
        <c:varyColors val="0"/>
        <c:ser>
          <c:idx val="0"/>
          <c:order val="0"/>
          <c:spPr>
            <a:ln w="28575">
              <a:noFill/>
            </a:ln>
          </c:spPr>
          <c:xVal>
            <c:numRef>
              <c:f>Sheet6!$D$10:$D$43</c:f>
              <c:numCache>
                <c:formatCode>General</c:formatCode>
                <c:ptCount val="34"/>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pt idx="33">
                  <c:v>0.90000000000000047</c:v>
                </c:pt>
              </c:numCache>
            </c:numRef>
          </c:xVal>
          <c:yVal>
            <c:numRef>
              <c:f>Sheet6!$C$10:$C$43</c:f>
              <c:numCache>
                <c:formatCode>General</c:formatCode>
                <c:ptCount val="34"/>
                <c:pt idx="0">
                  <c:v>504.9</c:v>
                </c:pt>
                <c:pt idx="1">
                  <c:v>484.4</c:v>
                </c:pt>
                <c:pt idx="2">
                  <c:v>478.9</c:v>
                </c:pt>
                <c:pt idx="3">
                  <c:v>474.6</c:v>
                </c:pt>
                <c:pt idx="4">
                  <c:v>477.8</c:v>
                </c:pt>
                <c:pt idx="5">
                  <c:v>480</c:v>
                </c:pt>
                <c:pt idx="6">
                  <c:v>512.1</c:v>
                </c:pt>
                <c:pt idx="7">
                  <c:v>476.7</c:v>
                </c:pt>
                <c:pt idx="8">
                  <c:v>510.9</c:v>
                </c:pt>
                <c:pt idx="9">
                  <c:v>523.1</c:v>
                </c:pt>
                <c:pt idx="10">
                  <c:v>491.1</c:v>
                </c:pt>
                <c:pt idx="11">
                  <c:v>504.9</c:v>
                </c:pt>
                <c:pt idx="12">
                  <c:v>503.8</c:v>
                </c:pt>
                <c:pt idx="13">
                  <c:v>485.5</c:v>
                </c:pt>
                <c:pt idx="14">
                  <c:v>482.2</c:v>
                </c:pt>
                <c:pt idx="15">
                  <c:v>518.1</c:v>
                </c:pt>
                <c:pt idx="16">
                  <c:v>497.9</c:v>
                </c:pt>
                <c:pt idx="17">
                  <c:v>519.4</c:v>
                </c:pt>
                <c:pt idx="18">
                  <c:v>509.7</c:v>
                </c:pt>
                <c:pt idx="19">
                  <c:v>499.1</c:v>
                </c:pt>
                <c:pt idx="20">
                  <c:v>486.6</c:v>
                </c:pt>
                <c:pt idx="21">
                  <c:v>491.1</c:v>
                </c:pt>
                <c:pt idx="22">
                  <c:v>497.9</c:v>
                </c:pt>
                <c:pt idx="23">
                  <c:v>495.6</c:v>
                </c:pt>
                <c:pt idx="24">
                  <c:v>465</c:v>
                </c:pt>
                <c:pt idx="25">
                  <c:v>515.70000000000005</c:v>
                </c:pt>
                <c:pt idx="26">
                  <c:v>486.6</c:v>
                </c:pt>
                <c:pt idx="27">
                  <c:v>483.3</c:v>
                </c:pt>
                <c:pt idx="28">
                  <c:v>521.79999999999995</c:v>
                </c:pt>
                <c:pt idx="29">
                  <c:v>569.4</c:v>
                </c:pt>
                <c:pt idx="30">
                  <c:v>476.7</c:v>
                </c:pt>
                <c:pt idx="31">
                  <c:v>495.6</c:v>
                </c:pt>
                <c:pt idx="32">
                  <c:v>491.1</c:v>
                </c:pt>
                <c:pt idx="33">
                  <c:v>495.6</c:v>
                </c:pt>
              </c:numCache>
            </c:numRef>
          </c:yVal>
          <c:smooth val="0"/>
        </c:ser>
        <c:dLbls>
          <c:showLegendKey val="0"/>
          <c:showVal val="0"/>
          <c:showCatName val="0"/>
          <c:showSerName val="0"/>
          <c:showPercent val="0"/>
          <c:showBubbleSize val="0"/>
        </c:dLbls>
        <c:axId val="300020096"/>
        <c:axId val="300022016"/>
      </c:scatterChart>
      <c:valAx>
        <c:axId val="300020096"/>
        <c:scaling>
          <c:orientation val="minMax"/>
        </c:scaling>
        <c:delete val="0"/>
        <c:axPos val="b"/>
        <c:title>
          <c:tx>
            <c:rich>
              <a:bodyPr/>
              <a:lstStyle/>
              <a:p>
                <a:pPr>
                  <a:defRPr/>
                </a:pPr>
                <a:r>
                  <a:rPr lang="en-US"/>
                  <a:t>Distance across weld (in)</a:t>
                </a:r>
              </a:p>
            </c:rich>
          </c:tx>
          <c:overlay val="0"/>
        </c:title>
        <c:numFmt formatCode="General" sourceLinked="1"/>
        <c:majorTickMark val="out"/>
        <c:minorTickMark val="none"/>
        <c:tickLblPos val="nextTo"/>
        <c:crossAx val="300022016"/>
        <c:crosses val="autoZero"/>
        <c:crossBetween val="midCat"/>
      </c:valAx>
      <c:valAx>
        <c:axId val="300022016"/>
        <c:scaling>
          <c:orientation val="minMax"/>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300020096"/>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Treated Sample E </a:t>
            </a:r>
          </a:p>
        </c:rich>
      </c:tx>
      <c:overlay val="0"/>
    </c:title>
    <c:autoTitleDeleted val="0"/>
    <c:plotArea>
      <c:layout/>
      <c:scatterChart>
        <c:scatterStyle val="lineMarker"/>
        <c:varyColors val="0"/>
        <c:ser>
          <c:idx val="0"/>
          <c:order val="0"/>
          <c:tx>
            <c:v>1 hour </c:v>
          </c:tx>
          <c:spPr>
            <a:ln w="28575">
              <a:noFill/>
            </a:ln>
          </c:spPr>
          <c:xVal>
            <c:numRef>
              <c:f>Sheet7!$D$10:$D$43</c:f>
              <c:numCache>
                <c:formatCode>General</c:formatCode>
                <c:ptCount val="34"/>
                <c:pt idx="0">
                  <c:v>7.4999999999999997E-2</c:v>
                </c:pt>
                <c:pt idx="1">
                  <c:v>0.1</c:v>
                </c:pt>
                <c:pt idx="2">
                  <c:v>0.125</c:v>
                </c:pt>
                <c:pt idx="3">
                  <c:v>0.15</c:v>
                </c:pt>
                <c:pt idx="4">
                  <c:v>0.17499999999999999</c:v>
                </c:pt>
                <c:pt idx="5">
                  <c:v>0.19999999999999998</c:v>
                </c:pt>
                <c:pt idx="6">
                  <c:v>0.22499999999999998</c:v>
                </c:pt>
                <c:pt idx="7">
                  <c:v>0.24999999999999997</c:v>
                </c:pt>
                <c:pt idx="8">
                  <c:v>0.27499999999999997</c:v>
                </c:pt>
                <c:pt idx="9">
                  <c:v>0.3</c:v>
                </c:pt>
                <c:pt idx="10">
                  <c:v>0.32500000000000001</c:v>
                </c:pt>
                <c:pt idx="11">
                  <c:v>0.35000000000000003</c:v>
                </c:pt>
                <c:pt idx="12">
                  <c:v>0.37500000000000006</c:v>
                </c:pt>
                <c:pt idx="13">
                  <c:v>0.40000000000000008</c:v>
                </c:pt>
                <c:pt idx="14">
                  <c:v>0.4250000000000001</c:v>
                </c:pt>
                <c:pt idx="15">
                  <c:v>0.45000000000000012</c:v>
                </c:pt>
                <c:pt idx="16">
                  <c:v>0.47500000000000014</c:v>
                </c:pt>
                <c:pt idx="17">
                  <c:v>0.50000000000000011</c:v>
                </c:pt>
                <c:pt idx="18">
                  <c:v>0.52500000000000013</c:v>
                </c:pt>
                <c:pt idx="19">
                  <c:v>0.55000000000000016</c:v>
                </c:pt>
                <c:pt idx="20">
                  <c:v>0.57500000000000018</c:v>
                </c:pt>
                <c:pt idx="21">
                  <c:v>0.6000000000000002</c:v>
                </c:pt>
                <c:pt idx="22">
                  <c:v>0.62500000000000022</c:v>
                </c:pt>
                <c:pt idx="23">
                  <c:v>0.65000000000000024</c:v>
                </c:pt>
                <c:pt idx="24">
                  <c:v>0.67500000000000027</c:v>
                </c:pt>
                <c:pt idx="25">
                  <c:v>0.70000000000000029</c:v>
                </c:pt>
                <c:pt idx="26">
                  <c:v>0.72500000000000031</c:v>
                </c:pt>
                <c:pt idx="27">
                  <c:v>0.75000000000000033</c:v>
                </c:pt>
                <c:pt idx="28">
                  <c:v>0.77500000000000036</c:v>
                </c:pt>
                <c:pt idx="29">
                  <c:v>0.80000000000000038</c:v>
                </c:pt>
                <c:pt idx="30">
                  <c:v>0.8250000000000004</c:v>
                </c:pt>
                <c:pt idx="31">
                  <c:v>0.85000000000000042</c:v>
                </c:pt>
                <c:pt idx="32">
                  <c:v>0.87500000000000044</c:v>
                </c:pt>
                <c:pt idx="33">
                  <c:v>0.90000000000000047</c:v>
                </c:pt>
              </c:numCache>
            </c:numRef>
          </c:xVal>
          <c:yVal>
            <c:numRef>
              <c:f>Sheet7!$C$10:$C$43</c:f>
              <c:numCache>
                <c:formatCode>General</c:formatCode>
                <c:ptCount val="34"/>
                <c:pt idx="0">
                  <c:v>566.6</c:v>
                </c:pt>
                <c:pt idx="1">
                  <c:v>540.9</c:v>
                </c:pt>
                <c:pt idx="2">
                  <c:v>499.1</c:v>
                </c:pt>
                <c:pt idx="3">
                  <c:v>528.1</c:v>
                </c:pt>
                <c:pt idx="4">
                  <c:v>520.6</c:v>
                </c:pt>
                <c:pt idx="5">
                  <c:v>526.79999999999995</c:v>
                </c:pt>
                <c:pt idx="6">
                  <c:v>566.6</c:v>
                </c:pt>
                <c:pt idx="7">
                  <c:v>566.6</c:v>
                </c:pt>
                <c:pt idx="8">
                  <c:v>548.79999999999995</c:v>
                </c:pt>
                <c:pt idx="9">
                  <c:v>546.20000000000005</c:v>
                </c:pt>
                <c:pt idx="10">
                  <c:v>561.1</c:v>
                </c:pt>
                <c:pt idx="11">
                  <c:v>547.5</c:v>
                </c:pt>
                <c:pt idx="12">
                  <c:v>558.29999999999995</c:v>
                </c:pt>
                <c:pt idx="13">
                  <c:v>601.79999999999995</c:v>
                </c:pt>
                <c:pt idx="14">
                  <c:v>568</c:v>
                </c:pt>
                <c:pt idx="15">
                  <c:v>548.79999999999995</c:v>
                </c:pt>
                <c:pt idx="16">
                  <c:v>556.9</c:v>
                </c:pt>
                <c:pt idx="17">
                  <c:v>559.70000000000005</c:v>
                </c:pt>
                <c:pt idx="18">
                  <c:v>598.79999999999995</c:v>
                </c:pt>
                <c:pt idx="19">
                  <c:v>561.1</c:v>
                </c:pt>
                <c:pt idx="20">
                  <c:v>585.29999999999995</c:v>
                </c:pt>
                <c:pt idx="21">
                  <c:v>528.1</c:v>
                </c:pt>
                <c:pt idx="22">
                  <c:v>516.9</c:v>
                </c:pt>
                <c:pt idx="23">
                  <c:v>535.70000000000005</c:v>
                </c:pt>
                <c:pt idx="24">
                  <c:v>580.9</c:v>
                </c:pt>
                <c:pt idx="25">
                  <c:v>525.6</c:v>
                </c:pt>
                <c:pt idx="26">
                  <c:v>568</c:v>
                </c:pt>
                <c:pt idx="27">
                  <c:v>578</c:v>
                </c:pt>
                <c:pt idx="28">
                  <c:v>523.1</c:v>
                </c:pt>
                <c:pt idx="29">
                  <c:v>533.20000000000005</c:v>
                </c:pt>
                <c:pt idx="30">
                  <c:v>509.7</c:v>
                </c:pt>
                <c:pt idx="31">
                  <c:v>496.8</c:v>
                </c:pt>
                <c:pt idx="32">
                  <c:v>468.2</c:v>
                </c:pt>
                <c:pt idx="33">
                  <c:v>503.8</c:v>
                </c:pt>
              </c:numCache>
            </c:numRef>
          </c:yVal>
          <c:smooth val="0"/>
        </c:ser>
        <c:dLbls>
          <c:showLegendKey val="0"/>
          <c:showVal val="0"/>
          <c:showCatName val="0"/>
          <c:showSerName val="0"/>
          <c:showPercent val="0"/>
          <c:showBubbleSize val="0"/>
        </c:dLbls>
        <c:axId val="300046592"/>
        <c:axId val="301007232"/>
      </c:scatterChart>
      <c:valAx>
        <c:axId val="300046592"/>
        <c:scaling>
          <c:orientation val="minMax"/>
        </c:scaling>
        <c:delete val="0"/>
        <c:axPos val="b"/>
        <c:title>
          <c:tx>
            <c:rich>
              <a:bodyPr/>
              <a:lstStyle/>
              <a:p>
                <a:pPr>
                  <a:defRPr/>
                </a:pPr>
                <a:r>
                  <a:rPr lang="en-US"/>
                  <a:t>Distance across weld (in) </a:t>
                </a:r>
              </a:p>
            </c:rich>
          </c:tx>
          <c:overlay val="0"/>
        </c:title>
        <c:numFmt formatCode="General" sourceLinked="1"/>
        <c:majorTickMark val="out"/>
        <c:minorTickMark val="none"/>
        <c:tickLblPos val="nextTo"/>
        <c:crossAx val="301007232"/>
        <c:crosses val="autoZero"/>
        <c:crossBetween val="midCat"/>
      </c:valAx>
      <c:valAx>
        <c:axId val="301007232"/>
        <c:scaling>
          <c:orientation val="minMax"/>
        </c:scaling>
        <c:delete val="0"/>
        <c:axPos val="l"/>
        <c:majorGridlines/>
        <c:title>
          <c:tx>
            <c:rich>
              <a:bodyPr rot="-5400000" vert="horz"/>
              <a:lstStyle/>
              <a:p>
                <a:pPr>
                  <a:defRPr/>
                </a:pPr>
                <a:r>
                  <a:rPr lang="en-US"/>
                  <a:t>Vickers Hardness (HV) </a:t>
                </a:r>
              </a:p>
            </c:rich>
          </c:tx>
          <c:overlay val="0"/>
        </c:title>
        <c:numFmt formatCode="General" sourceLinked="1"/>
        <c:majorTickMark val="out"/>
        <c:minorTickMark val="none"/>
        <c:tickLblPos val="nextTo"/>
        <c:crossAx val="300046592"/>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5D"/>
    <w:rsid w:val="00A35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338C17A673455DA36EA85032028740">
    <w:name w:val="E3338C17A673455DA36EA85032028740"/>
    <w:rsid w:val="00A35E5D"/>
  </w:style>
  <w:style w:type="paragraph" w:customStyle="1" w:styleId="D18A58D87AEC46D69CB810BE7190D2AA">
    <w:name w:val="D18A58D87AEC46D69CB810BE7190D2AA"/>
    <w:rsid w:val="00A35E5D"/>
  </w:style>
  <w:style w:type="paragraph" w:customStyle="1" w:styleId="437B000F99864D81B87FD1798ABA746C">
    <w:name w:val="437B000F99864D81B87FD1798ABA746C"/>
    <w:rsid w:val="00A35E5D"/>
  </w:style>
  <w:style w:type="paragraph" w:customStyle="1" w:styleId="A50CF88E27BE4210B1A828C80B6F970A">
    <w:name w:val="A50CF88E27BE4210B1A828C80B6F970A"/>
    <w:rsid w:val="00A35E5D"/>
  </w:style>
  <w:style w:type="paragraph" w:customStyle="1" w:styleId="975DF766D53B41E1B85D434BA4EA7EEE">
    <w:name w:val="975DF766D53B41E1B85D434BA4EA7EEE"/>
    <w:rsid w:val="00A35E5D"/>
  </w:style>
  <w:style w:type="paragraph" w:customStyle="1" w:styleId="A17F14003B2C4CFFACCBA0CC0AB79D92">
    <w:name w:val="A17F14003B2C4CFFACCBA0CC0AB79D92"/>
    <w:rsid w:val="00A35E5D"/>
  </w:style>
  <w:style w:type="paragraph" w:customStyle="1" w:styleId="FF7C20577F164AB7B53AA648AEC6F249">
    <w:name w:val="FF7C20577F164AB7B53AA648AEC6F249"/>
    <w:rsid w:val="00A35E5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338C17A673455DA36EA85032028740">
    <w:name w:val="E3338C17A673455DA36EA85032028740"/>
    <w:rsid w:val="00A35E5D"/>
  </w:style>
  <w:style w:type="paragraph" w:customStyle="1" w:styleId="D18A58D87AEC46D69CB810BE7190D2AA">
    <w:name w:val="D18A58D87AEC46D69CB810BE7190D2AA"/>
    <w:rsid w:val="00A35E5D"/>
  </w:style>
  <w:style w:type="paragraph" w:customStyle="1" w:styleId="437B000F99864D81B87FD1798ABA746C">
    <w:name w:val="437B000F99864D81B87FD1798ABA746C"/>
    <w:rsid w:val="00A35E5D"/>
  </w:style>
  <w:style w:type="paragraph" w:customStyle="1" w:styleId="A50CF88E27BE4210B1A828C80B6F970A">
    <w:name w:val="A50CF88E27BE4210B1A828C80B6F970A"/>
    <w:rsid w:val="00A35E5D"/>
  </w:style>
  <w:style w:type="paragraph" w:customStyle="1" w:styleId="975DF766D53B41E1B85D434BA4EA7EEE">
    <w:name w:val="975DF766D53B41E1B85D434BA4EA7EEE"/>
    <w:rsid w:val="00A35E5D"/>
  </w:style>
  <w:style w:type="paragraph" w:customStyle="1" w:styleId="A17F14003B2C4CFFACCBA0CC0AB79D92">
    <w:name w:val="A17F14003B2C4CFFACCBA0CC0AB79D92"/>
    <w:rsid w:val="00A35E5D"/>
  </w:style>
  <w:style w:type="paragraph" w:customStyle="1" w:styleId="FF7C20577F164AB7B53AA648AEC6F249">
    <w:name w:val="FF7C20577F164AB7B53AA648AEC6F249"/>
    <w:rsid w:val="00A35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2012-08-02T00:00:00</PublishDate>
  <Abstract> Abstract 	Friction stir processing and post-weld heat treatments of 250 Grade Maraging Steel were performed using bead on plate friction stir welds with a Tungsten Rhenium Hafnium Carbide pin tool and a Thermolyne Industrial Furnace for the heat treating. Successful welds generally resulted from FSW parameters that produced higher amounts of heat, specifically a force of 6500 lbs, rotational speed of 200 rpm, and a longitudinal speed of 2 in/min. Post-weld heat treating indicates the possibility of over-aging with excessive temperature or time at elevated temperature illustrating the benefits of lower temperature aging for longer durations. Cross-sectional samples of the welds indicate micro-hardness tends to even out across the weld nugget, heat affected zone (HAZ), and parent material with post-weld heat treating.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85698D-65BE-4ABB-9102-0EF117DA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4327</Words>
  <Characters>24665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Friction Stir Welding Techniques Applied to Maraging Steel </vt:lpstr>
    </vt:vector>
  </TitlesOfParts>
  <Company>South Dakota School of Mines and Technology</Company>
  <LinksUpToDate>false</LinksUpToDate>
  <CharactersWithSpaces>28935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Friction Stir Welding Techniques Applied to Maraging Steel</dc:title>
  <dc:creator>Kellogg, Brendan D.</dc:creator>
  <cp:lastModifiedBy>Kellogg, Brendan D.</cp:lastModifiedBy>
  <cp:revision>2</cp:revision>
  <dcterms:created xsi:type="dcterms:W3CDTF">2012-08-02T21:03:00Z</dcterms:created>
  <dcterms:modified xsi:type="dcterms:W3CDTF">2012-08-02T21:03:00Z</dcterms:modified>
</cp:coreProperties>
</file>